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530B9E" w14:textId="4A7E94A3" w:rsidR="00DC597F" w:rsidRPr="00FC7BBB" w:rsidRDefault="00DC597F" w:rsidP="00DC597F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3GPP TSG RAN WG1 Meeting #94</w:t>
      </w:r>
      <w:r w:rsidR="007A6505">
        <w:rPr>
          <w:rFonts w:ascii="Arial" w:hAnsi="Arial" w:cs="Arial"/>
          <w:b/>
          <w:sz w:val="24"/>
          <w:lang w:val="en-US"/>
        </w:rPr>
        <w:t>bis</w:t>
      </w:r>
      <w:r>
        <w:rPr>
          <w:rFonts w:ascii="Arial" w:hAnsi="Arial" w:cs="Arial"/>
          <w:b/>
          <w:sz w:val="24"/>
        </w:rPr>
        <w:t xml:space="preserve">   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R1-</w:t>
      </w:r>
      <w:r w:rsidR="007A6505">
        <w:rPr>
          <w:rFonts w:ascii="Arial" w:hAnsi="Arial" w:cs="Arial"/>
          <w:b/>
          <w:sz w:val="24"/>
        </w:rPr>
        <w:t>18</w:t>
      </w:r>
      <w:r w:rsidR="00A837D8">
        <w:rPr>
          <w:rFonts w:ascii="Arial" w:hAnsi="Arial" w:cs="Arial"/>
          <w:b/>
          <w:sz w:val="24"/>
        </w:rPr>
        <w:t>10763</w:t>
      </w:r>
    </w:p>
    <w:p w14:paraId="3EF19141" w14:textId="34E55371" w:rsidR="00DC597F" w:rsidRPr="00FC7BBB" w:rsidRDefault="007A6505" w:rsidP="00DC597F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val="en-US"/>
        </w:rPr>
        <w:t>Chengdu</w:t>
      </w:r>
      <w:r w:rsidR="00DC597F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China</w:t>
      </w:r>
      <w:r w:rsidR="00DC597F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October 8</w:t>
      </w:r>
      <w:r w:rsidR="00DC597F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DC597F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12</w:t>
      </w:r>
      <w:r w:rsidR="00DC597F" w:rsidRPr="003E5A52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DC597F">
        <w:rPr>
          <w:rFonts w:ascii="Arial" w:hAnsi="Arial" w:cs="Arial"/>
          <w:b/>
          <w:sz w:val="24"/>
          <w:lang w:val="en-US"/>
        </w:rPr>
        <w:t>, 2018</w:t>
      </w:r>
      <w:r w:rsidR="00DC597F" w:rsidRPr="00FC7BBB">
        <w:rPr>
          <w:rFonts w:ascii="Arial" w:hAnsi="Arial" w:cs="Arial"/>
          <w:b/>
          <w:sz w:val="24"/>
        </w:rPr>
        <w:t xml:space="preserve">  </w:t>
      </w:r>
    </w:p>
    <w:p w14:paraId="5EB3A825" w14:textId="77777777" w:rsidR="007D4C02" w:rsidRPr="00E047A5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2D4672AD" w14:textId="26DD909A" w:rsidR="00ED73DD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14005">
        <w:rPr>
          <w:rFonts w:ascii="Arial" w:hAnsi="Arial" w:cs="Arial"/>
          <w:b/>
          <w:bCs/>
          <w:sz w:val="24"/>
          <w:lang w:val="en-US"/>
        </w:rPr>
        <w:t>7.</w:t>
      </w:r>
      <w:r w:rsidR="00DC597F">
        <w:rPr>
          <w:rFonts w:ascii="Arial" w:hAnsi="Arial" w:cs="Arial"/>
          <w:b/>
          <w:bCs/>
          <w:sz w:val="24"/>
          <w:lang w:val="en-US"/>
        </w:rPr>
        <w:t>2.2.2</w:t>
      </w:r>
    </w:p>
    <w:p w14:paraId="02AA2B85" w14:textId="6E76D0B4" w:rsidR="007D4C02" w:rsidRPr="0099619E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55544A88" w14:textId="70568258"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26001C" w:rsidRPr="0026001C">
        <w:rPr>
          <w:rFonts w:ascii="Arial" w:hAnsi="Arial" w:cs="Arial"/>
          <w:b/>
          <w:bCs/>
          <w:sz w:val="24"/>
          <w:lang w:val="en-US"/>
        </w:rPr>
        <w:t>On the NR</w:t>
      </w:r>
      <w:r w:rsidR="00DC597F">
        <w:rPr>
          <w:rFonts w:ascii="Arial" w:hAnsi="Arial" w:cs="Arial"/>
          <w:b/>
          <w:bCs/>
          <w:sz w:val="24"/>
          <w:lang w:val="en-US"/>
        </w:rPr>
        <w:t>-unlicensed frame structure</w:t>
      </w:r>
      <w:r w:rsidR="00C41D5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25BA7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1DBC2C9C" w14:textId="77777777"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5708280C" w14:textId="77777777" w:rsidR="00623807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Introduction</w:t>
      </w:r>
      <w:r w:rsidR="00DE31C2">
        <w:rPr>
          <w:sz w:val="28"/>
        </w:rPr>
        <w:t xml:space="preserve"> </w:t>
      </w:r>
    </w:p>
    <w:p w14:paraId="021D9C37" w14:textId="2C40F61E" w:rsidR="00396B04" w:rsidRDefault="00396B04">
      <w:r>
        <w:t>In RAN1 #9</w:t>
      </w:r>
      <w:r w:rsidR="007B30D6">
        <w:t>3</w:t>
      </w:r>
      <w:r w:rsidR="00584F26">
        <w:t>-94</w:t>
      </w:r>
      <w:r>
        <w:t>,</w:t>
      </w:r>
      <w:r w:rsidR="00AA1021">
        <w:t xml:space="preserve"> the following</w:t>
      </w:r>
      <w:r w:rsidR="007F490A">
        <w:t xml:space="preserve"> agreement was made [1</w:t>
      </w:r>
      <w:proofErr w:type="gramStart"/>
      <w:r w:rsidR="00B97E5E">
        <w:t>,2</w:t>
      </w:r>
      <w:proofErr w:type="gramEnd"/>
      <w:r w:rsidR="007F490A">
        <w:t xml:space="preserve">]: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770AA" w14:paraId="65BE1205" w14:textId="77777777" w:rsidTr="00F770AA">
        <w:tc>
          <w:tcPr>
            <w:tcW w:w="9919" w:type="dxa"/>
          </w:tcPr>
          <w:p w14:paraId="323B2D15" w14:textId="3B86C834" w:rsidR="00686235" w:rsidRDefault="00686235">
            <w:pPr>
              <w:spacing w:before="120"/>
              <w:rPr>
                <w:lang w:eastAsia="x-none"/>
              </w:rPr>
            </w:pPr>
            <w:r w:rsidRPr="00373702">
              <w:rPr>
                <w:highlight w:val="green"/>
                <w:lang w:eastAsia="x-none"/>
              </w:rPr>
              <w:t>Agreement</w:t>
            </w:r>
            <w:r w:rsidR="00584F26">
              <w:rPr>
                <w:highlight w:val="green"/>
                <w:lang w:eastAsia="x-none"/>
              </w:rPr>
              <w:t xml:space="preserve"> (RAN1 #93)</w:t>
            </w:r>
            <w:r w:rsidRPr="00373702">
              <w:rPr>
                <w:highlight w:val="green"/>
                <w:lang w:eastAsia="x-none"/>
              </w:rPr>
              <w:t>:</w:t>
            </w:r>
          </w:p>
          <w:p w14:paraId="233D50E7" w14:textId="77777777" w:rsidR="00686235" w:rsidRDefault="00686235" w:rsidP="00664255">
            <w:pPr>
              <w:numPr>
                <w:ilvl w:val="0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Single and multiple DL to UL and UL to DL switching within a shared gNB COT is identified to be beneficial and can be supported</w:t>
            </w:r>
          </w:p>
          <w:p w14:paraId="02557255" w14:textId="77777777" w:rsidR="00686235" w:rsidRDefault="00686235" w:rsidP="00664255">
            <w:pPr>
              <w:numPr>
                <w:ilvl w:val="1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LBT requirements to support single or multiple switching points, include</w:t>
            </w:r>
          </w:p>
          <w:p w14:paraId="230FD423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gap of less than 16us: no-LBT can be used </w:t>
            </w:r>
          </w:p>
          <w:p w14:paraId="314A1178" w14:textId="77777777" w:rsidR="00686235" w:rsidRDefault="00686235" w:rsidP="00664255">
            <w:pPr>
              <w:pStyle w:val="ListParagraph"/>
              <w:numPr>
                <w:ilvl w:val="3"/>
                <w:numId w:val="41"/>
              </w:numPr>
              <w:spacing w:after="0" w:line="259" w:lineRule="auto"/>
            </w:pPr>
            <w:r>
              <w:t>Restrictions/conditions on when no-LBT option can be used will be further identified, in consideration of fai</w:t>
            </w:r>
            <w:bookmarkStart w:id="1" w:name="_GoBack"/>
            <w:bookmarkEnd w:id="1"/>
            <w:r>
              <w:t xml:space="preserve">r coexistence. </w:t>
            </w:r>
          </w:p>
          <w:p w14:paraId="018CEF68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gap of above 16us but does not exceed 25us: one-shot LBT can be used </w:t>
            </w:r>
          </w:p>
          <w:p w14:paraId="16C90ED9" w14:textId="77777777" w:rsidR="00686235" w:rsidRDefault="00686235" w:rsidP="00664255">
            <w:pPr>
              <w:pStyle w:val="ListParagraph"/>
              <w:numPr>
                <w:ilvl w:val="3"/>
                <w:numId w:val="41"/>
              </w:numPr>
              <w:spacing w:after="0" w:line="259" w:lineRule="auto"/>
            </w:pPr>
            <w:r>
              <w:t xml:space="preserve">Restrictions/conditions on when one-shot LBT option can be used will be further identified, in consideration of fair coexistence. </w:t>
            </w:r>
          </w:p>
          <w:p w14:paraId="3A4B58CD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For single switching point, for the gap from DL transmission to UL transmission exceeds 25us: one-shot LBT is used </w:t>
            </w:r>
          </w:p>
          <w:p w14:paraId="779A77C4" w14:textId="77777777" w:rsidR="00686235" w:rsidRDefault="00686235" w:rsidP="00664255">
            <w:pPr>
              <w:pStyle w:val="ListParagraph"/>
              <w:numPr>
                <w:ilvl w:val="3"/>
                <w:numId w:val="41"/>
              </w:numPr>
              <w:spacing w:after="0" w:line="240" w:lineRule="auto"/>
            </w:pPr>
            <w:r>
              <w:t xml:space="preserve">Further study needed on how many one-shot LBT attempts is allowed for granted UL transmission </w:t>
            </w:r>
          </w:p>
          <w:p w14:paraId="7BF180B4" w14:textId="77777777" w:rsidR="00686235" w:rsidRDefault="00686235" w:rsidP="00664255">
            <w:pPr>
              <w:numPr>
                <w:ilvl w:val="2"/>
                <w:numId w:val="41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For multiple switching points, for the gap from DL transmission to UL transmission exceeds 25us, one-shot LBT is used. Regulations for this option.</w:t>
            </w:r>
          </w:p>
          <w:p w14:paraId="770B8428" w14:textId="77777777" w:rsidR="00584F26" w:rsidRDefault="00584F26" w:rsidP="00584F26">
            <w:pPr>
              <w:spacing w:after="0"/>
              <w:rPr>
                <w:lang w:eastAsia="x-none"/>
              </w:rPr>
            </w:pPr>
          </w:p>
          <w:p w14:paraId="35C0B960" w14:textId="005A47FF" w:rsidR="00584F26" w:rsidRDefault="00584F26" w:rsidP="00584F26">
            <w:pPr>
              <w:spacing w:before="120"/>
              <w:rPr>
                <w:lang w:eastAsia="x-none"/>
              </w:rPr>
            </w:pPr>
            <w:r w:rsidRPr="00373702">
              <w:rPr>
                <w:highlight w:val="green"/>
                <w:lang w:eastAsia="x-none"/>
              </w:rPr>
              <w:t>Agreement</w:t>
            </w:r>
            <w:r>
              <w:rPr>
                <w:highlight w:val="green"/>
                <w:lang w:eastAsia="x-none"/>
              </w:rPr>
              <w:t xml:space="preserve"> (RAN1 #94)</w:t>
            </w:r>
            <w:r w:rsidRPr="00373702">
              <w:rPr>
                <w:highlight w:val="green"/>
                <w:lang w:eastAsia="x-none"/>
              </w:rPr>
              <w:t>:</w:t>
            </w:r>
          </w:p>
          <w:p w14:paraId="78B50E93" w14:textId="77777777" w:rsidR="008B4A00" w:rsidRPr="00F5220E" w:rsidRDefault="008B4A00" w:rsidP="008B4A00">
            <w:pPr>
              <w:numPr>
                <w:ilvl w:val="0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It is identified that being able to operate all DL signal/channels with the same numerology for a carrier and at least for intra-band CA on serving cells on unlicensed bands has at least the following benefits (at least for standalone operation, FFS whether this is benefit is realizable for inter-operator measurements)</w:t>
            </w:r>
          </w:p>
          <w:p w14:paraId="54FD19DB" w14:textId="77777777" w:rsidR="008B4A00" w:rsidRPr="00F5220E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Lower implementation complexity (e.g., a single FFT, no switching gaps)</w:t>
            </w:r>
          </w:p>
          <w:p w14:paraId="0CD5DB86" w14:textId="77777777" w:rsidR="008B4A00" w:rsidRPr="00F5220E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Lower specification impact</w:t>
            </w:r>
          </w:p>
          <w:p w14:paraId="03536BEA" w14:textId="77777777" w:rsidR="008B4A00" w:rsidRPr="00F5220E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No need for gaps for measurements on frequencies with a configured serving cell in unlicensed bands</w:t>
            </w:r>
          </w:p>
          <w:p w14:paraId="325FA762" w14:textId="77777777" w:rsidR="008B4A00" w:rsidRPr="00F5220E" w:rsidRDefault="008B4A00" w:rsidP="008B4A00">
            <w:pPr>
              <w:numPr>
                <w:ilvl w:val="0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 xml:space="preserve">It is identified that being able to operate all UL signal/channels with the same numerology for a carrier and at least for intra-band CA on serving cells on unlicensed bands has at least the following benefits </w:t>
            </w:r>
          </w:p>
          <w:p w14:paraId="1AA51700" w14:textId="77777777" w:rsidR="008B4A00" w:rsidRPr="00F5220E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Lower implementation complexity (e.g., a single FFT, no switching gaps)</w:t>
            </w:r>
          </w:p>
          <w:p w14:paraId="4A700E8D" w14:textId="77777777" w:rsidR="008B4A00" w:rsidRPr="00F5220E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Lower specification impact</w:t>
            </w:r>
          </w:p>
          <w:p w14:paraId="47EB0FDD" w14:textId="77777777" w:rsidR="008B4A00" w:rsidRPr="00F5220E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Common interlace structure</w:t>
            </w:r>
          </w:p>
          <w:p w14:paraId="1FCC668E" w14:textId="77777777" w:rsidR="008B4A00" w:rsidRPr="00F5220E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No need for gaps for transmission of SRS on a configured serving cell in unlicensed bands</w:t>
            </w:r>
          </w:p>
          <w:p w14:paraId="573CF069" w14:textId="77777777" w:rsidR="008B4A00" w:rsidRDefault="008B4A00" w:rsidP="008B4A00">
            <w:pPr>
              <w:numPr>
                <w:ilvl w:val="1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FFS: PRACH benefits</w:t>
            </w:r>
          </w:p>
          <w:p w14:paraId="0FD9E8B2" w14:textId="57DFBF2A" w:rsidR="00584F26" w:rsidRDefault="008B4A00" w:rsidP="008B4A00">
            <w:pPr>
              <w:numPr>
                <w:ilvl w:val="0"/>
                <w:numId w:val="47"/>
              </w:numPr>
              <w:spacing w:after="0"/>
              <w:jc w:val="left"/>
              <w:rPr>
                <w:lang w:eastAsia="x-none"/>
              </w:rPr>
            </w:pPr>
            <w:r w:rsidRPr="00F5220E">
              <w:rPr>
                <w:lang w:eastAsia="x-none"/>
              </w:rPr>
              <w:t>FFS: same numerology for DL and UL considering switching gap</w:t>
            </w:r>
          </w:p>
          <w:p w14:paraId="45E10D0A" w14:textId="6448FD69" w:rsidR="00686235" w:rsidRPr="00686235" w:rsidRDefault="00686235" w:rsidP="00664255">
            <w:pPr>
              <w:spacing w:after="0"/>
            </w:pPr>
          </w:p>
        </w:tc>
      </w:tr>
    </w:tbl>
    <w:p w14:paraId="19060C4F" w14:textId="77777777" w:rsidR="00F770AA" w:rsidRDefault="00F770AA"/>
    <w:p w14:paraId="6CC64AAF" w14:textId="77777777" w:rsidR="00A97B38" w:rsidRDefault="00A97B38">
      <w:r>
        <w:t>Based on the above agreement</w:t>
      </w:r>
      <w:r w:rsidR="00686235">
        <w:t xml:space="preserve">, </w:t>
      </w:r>
      <w:r>
        <w:t>the following aspects are discussed:</w:t>
      </w:r>
    </w:p>
    <w:p w14:paraId="43CB0EE6" w14:textId="338824F4" w:rsidR="00C25F4C" w:rsidRDefault="00C25F4C">
      <w:pPr>
        <w:pStyle w:val="ListParagraph"/>
        <w:numPr>
          <w:ilvl w:val="0"/>
          <w:numId w:val="46"/>
        </w:numPr>
      </w:pPr>
      <w:r>
        <w:t xml:space="preserve">Subcarrier spacing </w:t>
      </w:r>
    </w:p>
    <w:p w14:paraId="4AC2BA91" w14:textId="7DD6457F" w:rsidR="00A97B38" w:rsidRDefault="00A97B38">
      <w:pPr>
        <w:pStyle w:val="ListParagraph"/>
        <w:numPr>
          <w:ilvl w:val="0"/>
          <w:numId w:val="46"/>
        </w:numPr>
      </w:pPr>
      <w:r>
        <w:t>Signalling the COT structure</w:t>
      </w:r>
      <w:r w:rsidR="00977AA4">
        <w:t>.</w:t>
      </w:r>
    </w:p>
    <w:p w14:paraId="48BBAB70" w14:textId="20351D2A" w:rsidR="00A97B38" w:rsidRDefault="00A97B38">
      <w:pPr>
        <w:pStyle w:val="ListParagraph"/>
        <w:numPr>
          <w:ilvl w:val="0"/>
          <w:numId w:val="46"/>
        </w:numPr>
      </w:pPr>
      <w:r>
        <w:t>Multiple switching points having gap greater than 25 us</w:t>
      </w:r>
      <w:r w:rsidR="00977AA4">
        <w:t>.</w:t>
      </w:r>
    </w:p>
    <w:p w14:paraId="08FE7FE8" w14:textId="2FE29545" w:rsidR="00E047DB" w:rsidRDefault="00E047DB">
      <w:pPr>
        <w:pStyle w:val="ListParagraph"/>
        <w:numPr>
          <w:ilvl w:val="0"/>
          <w:numId w:val="46"/>
        </w:numPr>
      </w:pPr>
      <w:r>
        <w:t>Mini-slot</w:t>
      </w:r>
    </w:p>
    <w:p w14:paraId="2A393FEE" w14:textId="55A7AF15" w:rsidR="00C25F4C" w:rsidRDefault="00C25F4C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lastRenderedPageBreak/>
        <w:t>Numerology</w:t>
      </w:r>
    </w:p>
    <w:p w14:paraId="5166CF8B" w14:textId="5A940C48" w:rsidR="00F0520D" w:rsidRDefault="00F0520D" w:rsidP="00F0520D">
      <w:pPr>
        <w:spacing w:after="0"/>
        <w:rPr>
          <w:lang w:eastAsia="x-none"/>
        </w:rPr>
      </w:pPr>
      <w:r>
        <w:t xml:space="preserve">In the previous meeting, it was agreed that </w:t>
      </w:r>
      <w:r w:rsidR="000A2F38">
        <w:rPr>
          <w:lang w:eastAsia="x-none"/>
        </w:rPr>
        <w:t>being able to operate all DL</w:t>
      </w:r>
      <w:r w:rsidRPr="00F5220E">
        <w:rPr>
          <w:lang w:eastAsia="x-none"/>
        </w:rPr>
        <w:t xml:space="preserve"> signal/channels with the same numerology for a carrier</w:t>
      </w:r>
      <w:r>
        <w:rPr>
          <w:lang w:eastAsia="x-none"/>
        </w:rPr>
        <w:t xml:space="preserve"> could be beneficial from the perspectives of implementation complexity, </w:t>
      </w:r>
      <w:r w:rsidR="000A2F38">
        <w:rPr>
          <w:lang w:eastAsia="x-none"/>
        </w:rPr>
        <w:t>specification impact, and n</w:t>
      </w:r>
      <w:r w:rsidR="000A2F38" w:rsidRPr="00F5220E">
        <w:rPr>
          <w:lang w:eastAsia="x-none"/>
        </w:rPr>
        <w:t>o need for gaps for measurements</w:t>
      </w:r>
      <w:r w:rsidR="000A2F38">
        <w:rPr>
          <w:lang w:eastAsia="x-none"/>
        </w:rPr>
        <w:t xml:space="preserve">. </w:t>
      </w:r>
    </w:p>
    <w:p w14:paraId="46317C4E" w14:textId="1757D98C" w:rsidR="00F0520D" w:rsidRDefault="000A2F38" w:rsidP="00F0520D">
      <w:pPr>
        <w:spacing w:after="0"/>
        <w:rPr>
          <w:lang w:eastAsia="x-none"/>
        </w:rPr>
      </w:pPr>
      <w:r>
        <w:rPr>
          <w:lang w:eastAsia="x-none"/>
        </w:rPr>
        <w:t>Rel-15 NR supports 15/30/60 KHz SCS for</w:t>
      </w:r>
      <w:r w:rsidR="00B94BAF">
        <w:rPr>
          <w:lang w:eastAsia="x-none"/>
        </w:rPr>
        <w:t xml:space="preserve"> PDCCH and </w:t>
      </w:r>
      <w:proofErr w:type="gramStart"/>
      <w:r w:rsidR="00B94BAF">
        <w:rPr>
          <w:lang w:eastAsia="x-none"/>
        </w:rPr>
        <w:t>PDSCH</w:t>
      </w:r>
      <w:r>
        <w:rPr>
          <w:lang w:eastAsia="x-none"/>
        </w:rPr>
        <w:t xml:space="preserve">  but</w:t>
      </w:r>
      <w:proofErr w:type="gramEnd"/>
      <w:r>
        <w:rPr>
          <w:lang w:eastAsia="x-none"/>
        </w:rPr>
        <w:t xml:space="preserve"> it only supports SSB/PBCH with 15/30 KHz SCS. </w:t>
      </w:r>
      <w:r w:rsidR="00B94BAF">
        <w:rPr>
          <w:lang w:eastAsia="x-none"/>
        </w:rPr>
        <w:t xml:space="preserve"> Therefore, if we follow the agreement in the last meeting</w:t>
      </w:r>
      <w:r>
        <w:rPr>
          <w:lang w:eastAsia="x-none"/>
        </w:rPr>
        <w:t xml:space="preserve">, </w:t>
      </w:r>
      <w:r w:rsidR="00B94BAF">
        <w:rPr>
          <w:lang w:eastAsia="x-none"/>
        </w:rPr>
        <w:t xml:space="preserve">it is beneficial to use </w:t>
      </w:r>
      <w:r>
        <w:rPr>
          <w:lang w:eastAsia="x-none"/>
        </w:rPr>
        <w:t>the same numerology for all DL signals/channels</w:t>
      </w:r>
      <w:r w:rsidR="00B94BAF">
        <w:rPr>
          <w:lang w:eastAsia="x-none"/>
        </w:rPr>
        <w:t xml:space="preserve"> and </w:t>
      </w:r>
      <w:r>
        <w:rPr>
          <w:lang w:eastAsia="x-none"/>
        </w:rPr>
        <w:t xml:space="preserve">only 15 KHz SCS and 30 KHz SCS </w:t>
      </w:r>
      <w:r w:rsidR="00B94BAF">
        <w:rPr>
          <w:lang w:eastAsia="x-none"/>
        </w:rPr>
        <w:t xml:space="preserve">see the benefits </w:t>
      </w:r>
      <w:r>
        <w:rPr>
          <w:lang w:eastAsia="x-none"/>
        </w:rPr>
        <w:t>based on current NR specification. If 60KHz SCS needs to be used for all DL signals and channels, additional design for SSB/PBCH with 60</w:t>
      </w:r>
      <w:r w:rsidR="0005192A">
        <w:rPr>
          <w:lang w:eastAsia="x-none"/>
        </w:rPr>
        <w:t xml:space="preserve"> </w:t>
      </w:r>
      <w:r>
        <w:rPr>
          <w:lang w:eastAsia="x-none"/>
        </w:rPr>
        <w:t xml:space="preserve">KHz SCS is needed. We list up the </w:t>
      </w:r>
      <w:r w:rsidR="00B97E5E">
        <w:rPr>
          <w:lang w:eastAsia="x-none"/>
        </w:rPr>
        <w:t xml:space="preserve">pros and cons </w:t>
      </w:r>
      <w:r w:rsidR="0005192A">
        <w:rPr>
          <w:lang w:eastAsia="x-none"/>
        </w:rPr>
        <w:t xml:space="preserve">on the </w:t>
      </w:r>
      <w:r>
        <w:rPr>
          <w:lang w:eastAsia="x-none"/>
        </w:rPr>
        <w:t>introduc</w:t>
      </w:r>
      <w:r w:rsidR="0005192A">
        <w:rPr>
          <w:lang w:eastAsia="x-none"/>
        </w:rPr>
        <w:t>tion of</w:t>
      </w:r>
      <w:r>
        <w:rPr>
          <w:lang w:eastAsia="x-none"/>
        </w:rPr>
        <w:t xml:space="preserve"> SSB/PBCH</w:t>
      </w:r>
      <w:r w:rsidR="00B97E5E">
        <w:rPr>
          <w:lang w:eastAsia="x-none"/>
        </w:rPr>
        <w:t xml:space="preserve"> with 60</w:t>
      </w:r>
      <w:r w:rsidR="0005192A">
        <w:rPr>
          <w:lang w:eastAsia="x-none"/>
        </w:rPr>
        <w:t xml:space="preserve"> </w:t>
      </w:r>
      <w:r w:rsidR="00B97E5E">
        <w:rPr>
          <w:lang w:eastAsia="x-none"/>
        </w:rPr>
        <w:t>KHz SCS.</w:t>
      </w:r>
    </w:p>
    <w:p w14:paraId="6BB37E34" w14:textId="77777777" w:rsidR="000A2F38" w:rsidRDefault="000A2F38" w:rsidP="00F0520D">
      <w:pPr>
        <w:spacing w:after="0"/>
        <w:rPr>
          <w:lang w:eastAsia="x-none"/>
        </w:rPr>
      </w:pPr>
    </w:p>
    <w:p w14:paraId="79F7425E" w14:textId="7072DBE9" w:rsidR="00B97E5E" w:rsidRDefault="00B97E5E" w:rsidP="009C1B03">
      <w:pPr>
        <w:pStyle w:val="ListParagraph"/>
        <w:numPr>
          <w:ilvl w:val="0"/>
          <w:numId w:val="48"/>
        </w:numPr>
        <w:spacing w:after="0"/>
        <w:rPr>
          <w:lang w:eastAsia="x-none"/>
        </w:rPr>
      </w:pPr>
      <w:r>
        <w:rPr>
          <w:lang w:eastAsia="x-none"/>
        </w:rPr>
        <w:t xml:space="preserve">Benefits </w:t>
      </w:r>
      <w:r w:rsidR="0005192A">
        <w:rPr>
          <w:lang w:eastAsia="x-none"/>
        </w:rPr>
        <w:t>from</w:t>
      </w:r>
      <w:r w:rsidR="0005192A">
        <w:rPr>
          <w:lang w:eastAsia="x-none"/>
        </w:rPr>
        <w:t xml:space="preserve"> </w:t>
      </w:r>
      <w:r w:rsidR="0005192A">
        <w:rPr>
          <w:lang w:eastAsia="x-none"/>
        </w:rPr>
        <w:t>the introduction of</w:t>
      </w:r>
      <w:r w:rsidR="0005192A">
        <w:rPr>
          <w:lang w:eastAsia="x-none"/>
        </w:rPr>
        <w:t xml:space="preserve"> </w:t>
      </w:r>
      <w:r w:rsidR="000A2F38">
        <w:rPr>
          <w:lang w:eastAsia="x-none"/>
        </w:rPr>
        <w:t>60KHz SCS for SS</w:t>
      </w:r>
      <w:r>
        <w:rPr>
          <w:lang w:eastAsia="x-none"/>
        </w:rPr>
        <w:t>B</w:t>
      </w:r>
      <w:r w:rsidR="000A2F38">
        <w:rPr>
          <w:lang w:eastAsia="x-none"/>
        </w:rPr>
        <w:t>/PBCH</w:t>
      </w:r>
    </w:p>
    <w:p w14:paraId="73B68704" w14:textId="004FC9D8" w:rsidR="000A2F38" w:rsidRDefault="00B97E5E" w:rsidP="000A2F38">
      <w:pPr>
        <w:pStyle w:val="ListParagraph"/>
        <w:numPr>
          <w:ilvl w:val="1"/>
          <w:numId w:val="48"/>
        </w:numPr>
        <w:spacing w:after="0"/>
        <w:rPr>
          <w:lang w:eastAsia="x-none"/>
        </w:rPr>
      </w:pPr>
      <w:r>
        <w:rPr>
          <w:lang w:eastAsia="x-none"/>
        </w:rPr>
        <w:t xml:space="preserve">By having shorter symbol length, we can have finer </w:t>
      </w:r>
      <w:r w:rsidR="009C1B03">
        <w:rPr>
          <w:lang w:eastAsia="x-none"/>
        </w:rPr>
        <w:t>channel access</w:t>
      </w:r>
      <w:r>
        <w:rPr>
          <w:lang w:eastAsia="x-none"/>
        </w:rPr>
        <w:t xml:space="preserve"> granularity, which </w:t>
      </w:r>
      <w:r w:rsidR="009C1B03">
        <w:rPr>
          <w:lang w:eastAsia="x-none"/>
        </w:rPr>
        <w:t>may provide benefits on LBT</w:t>
      </w:r>
      <w:r w:rsidR="0005192A">
        <w:rPr>
          <w:lang w:eastAsia="x-none"/>
        </w:rPr>
        <w:t xml:space="preserve"> procedure</w:t>
      </w:r>
      <w:r w:rsidR="009C1B03">
        <w:rPr>
          <w:lang w:eastAsia="x-none"/>
        </w:rPr>
        <w:t xml:space="preserve"> and channel occupancy flexibility</w:t>
      </w:r>
    </w:p>
    <w:p w14:paraId="502A6736" w14:textId="4DC02839" w:rsidR="00B97E5E" w:rsidRDefault="009536BD" w:rsidP="000A2F38">
      <w:pPr>
        <w:pStyle w:val="ListParagraph"/>
        <w:numPr>
          <w:ilvl w:val="1"/>
          <w:numId w:val="48"/>
        </w:numPr>
        <w:spacing w:after="0"/>
        <w:rPr>
          <w:lang w:eastAsia="x-none"/>
        </w:rPr>
      </w:pPr>
      <w:r>
        <w:rPr>
          <w:lang w:eastAsia="x-none"/>
        </w:rPr>
        <w:t xml:space="preserve">More </w:t>
      </w:r>
      <w:r w:rsidR="00C20220">
        <w:rPr>
          <w:lang w:eastAsia="x-none"/>
        </w:rPr>
        <w:t xml:space="preserve">transmission opportunity </w:t>
      </w:r>
      <w:r>
        <w:rPr>
          <w:lang w:eastAsia="x-none"/>
        </w:rPr>
        <w:t>SSB/PBCH (or NR-U DRS) assuming the same overhead</w:t>
      </w:r>
    </w:p>
    <w:p w14:paraId="3F98FC18" w14:textId="5E991373" w:rsidR="00B97E5E" w:rsidRDefault="00B97E5E" w:rsidP="00B97E5E">
      <w:pPr>
        <w:pStyle w:val="ListParagraph"/>
        <w:numPr>
          <w:ilvl w:val="0"/>
          <w:numId w:val="48"/>
        </w:numPr>
        <w:spacing w:after="0"/>
        <w:rPr>
          <w:lang w:eastAsia="x-none"/>
        </w:rPr>
      </w:pPr>
      <w:r>
        <w:rPr>
          <w:lang w:eastAsia="x-none"/>
        </w:rPr>
        <w:t xml:space="preserve">Drawbacks </w:t>
      </w:r>
      <w:r w:rsidR="0005192A">
        <w:rPr>
          <w:lang w:eastAsia="x-none"/>
        </w:rPr>
        <w:t>from</w:t>
      </w:r>
      <w:r w:rsidR="0005192A">
        <w:rPr>
          <w:lang w:eastAsia="x-none"/>
        </w:rPr>
        <w:t xml:space="preserve"> </w:t>
      </w:r>
      <w:r w:rsidR="0005192A">
        <w:rPr>
          <w:lang w:eastAsia="x-none"/>
        </w:rPr>
        <w:t>the introduction of</w:t>
      </w:r>
      <w:r w:rsidR="0005192A">
        <w:rPr>
          <w:lang w:eastAsia="x-none"/>
        </w:rPr>
        <w:t xml:space="preserve"> </w:t>
      </w:r>
      <w:r>
        <w:rPr>
          <w:lang w:eastAsia="x-none"/>
        </w:rPr>
        <w:t>60KHz SCS for SSB/PBCH</w:t>
      </w:r>
    </w:p>
    <w:p w14:paraId="4042349D" w14:textId="53DDF865" w:rsidR="00B97E5E" w:rsidRDefault="00B97E5E" w:rsidP="00165C4C">
      <w:pPr>
        <w:pStyle w:val="ListParagraph"/>
        <w:numPr>
          <w:ilvl w:val="1"/>
          <w:numId w:val="48"/>
        </w:numPr>
        <w:spacing w:after="0"/>
        <w:rPr>
          <w:lang w:eastAsia="x-none"/>
        </w:rPr>
      </w:pPr>
      <w:r>
        <w:rPr>
          <w:lang w:eastAsia="x-none"/>
        </w:rPr>
        <w:t xml:space="preserve">Additional </w:t>
      </w:r>
      <w:r w:rsidR="009C1B03">
        <w:rPr>
          <w:lang w:eastAsia="x-none"/>
        </w:rPr>
        <w:t>specification and a</w:t>
      </w:r>
      <w:r>
        <w:rPr>
          <w:lang w:eastAsia="x-none"/>
        </w:rPr>
        <w:t>dditional implementation is needed on top of Rel-15 SSB/PBCH</w:t>
      </w:r>
    </w:p>
    <w:p w14:paraId="0FFF1E71" w14:textId="6CED82B7" w:rsidR="0005192A" w:rsidRDefault="0005192A" w:rsidP="00165C4C">
      <w:pPr>
        <w:pStyle w:val="ListParagraph"/>
        <w:numPr>
          <w:ilvl w:val="1"/>
          <w:numId w:val="48"/>
        </w:numPr>
        <w:spacing w:after="0"/>
        <w:rPr>
          <w:lang w:eastAsia="x-none"/>
        </w:rPr>
      </w:pPr>
      <w:r>
        <w:rPr>
          <w:lang w:eastAsia="x-none"/>
        </w:rPr>
        <w:t>Larger guard band increases overhead</w:t>
      </w:r>
    </w:p>
    <w:p w14:paraId="058F19DB" w14:textId="2E589E7D" w:rsidR="009C1B03" w:rsidRDefault="009C1B03" w:rsidP="00165C4C">
      <w:pPr>
        <w:pStyle w:val="ListParagraph"/>
        <w:numPr>
          <w:ilvl w:val="1"/>
          <w:numId w:val="48"/>
        </w:numPr>
        <w:spacing w:after="0"/>
        <w:rPr>
          <w:lang w:eastAsia="x-none"/>
        </w:rPr>
      </w:pPr>
      <w:r>
        <w:rPr>
          <w:lang w:eastAsia="x-none"/>
        </w:rPr>
        <w:t xml:space="preserve">Supportable cell size is </w:t>
      </w:r>
      <w:r w:rsidR="008834E4">
        <w:rPr>
          <w:lang w:eastAsia="x-none"/>
        </w:rPr>
        <w:t>small due to</w:t>
      </w:r>
      <w:r>
        <w:rPr>
          <w:lang w:eastAsia="x-none"/>
        </w:rPr>
        <w:t xml:space="preserve"> the shorter CP lengths, if normal CP is used. Extended CP may be required to be supported.</w:t>
      </w:r>
    </w:p>
    <w:p w14:paraId="56486467" w14:textId="77777777" w:rsidR="008834E4" w:rsidRDefault="008834E4" w:rsidP="00F0520D">
      <w:pPr>
        <w:spacing w:after="0"/>
        <w:rPr>
          <w:lang w:eastAsia="x-none"/>
        </w:rPr>
      </w:pPr>
    </w:p>
    <w:p w14:paraId="26DB097D" w14:textId="2CA83BD0" w:rsidR="000A2F38" w:rsidRDefault="008834E4" w:rsidP="00F0520D">
      <w:pPr>
        <w:spacing w:after="0"/>
        <w:rPr>
          <w:lang w:eastAsia="x-none"/>
        </w:rPr>
      </w:pPr>
      <w:r>
        <w:rPr>
          <w:lang w:eastAsia="x-none"/>
        </w:rPr>
        <w:t xml:space="preserve">Based on pros and cons, the overall benefits of </w:t>
      </w:r>
      <w:proofErr w:type="gramStart"/>
      <w:r>
        <w:rPr>
          <w:lang w:eastAsia="x-none"/>
        </w:rPr>
        <w:t>60KHz</w:t>
      </w:r>
      <w:proofErr w:type="gramEnd"/>
      <w:r>
        <w:rPr>
          <w:lang w:eastAsia="x-none"/>
        </w:rPr>
        <w:t xml:space="preserve"> SCS are not clear at this time</w:t>
      </w:r>
      <w:r w:rsidR="0005192A">
        <w:rPr>
          <w:lang w:eastAsia="x-none"/>
        </w:rPr>
        <w:t xml:space="preserve"> without clear performance benefits obtained from the finer channel access granularity</w:t>
      </w:r>
      <w:r>
        <w:rPr>
          <w:lang w:eastAsia="x-none"/>
        </w:rPr>
        <w:t xml:space="preserve">. It is proposed to work on </w:t>
      </w:r>
      <w:proofErr w:type="gramStart"/>
      <w:r>
        <w:rPr>
          <w:lang w:eastAsia="x-none"/>
        </w:rPr>
        <w:t>15KHz/30KHz</w:t>
      </w:r>
      <w:proofErr w:type="gramEnd"/>
      <w:r>
        <w:rPr>
          <w:lang w:eastAsia="x-none"/>
        </w:rPr>
        <w:t xml:space="preserve"> SCS first and then we may study further on 60KHz SCS for SSB/PBCH.</w:t>
      </w:r>
    </w:p>
    <w:p w14:paraId="510E74A8" w14:textId="481541D9" w:rsidR="008834E4" w:rsidRDefault="008834E4" w:rsidP="008834E4">
      <w:pPr>
        <w:tabs>
          <w:tab w:val="left" w:pos="1864"/>
        </w:tabs>
        <w:spacing w:after="0"/>
        <w:rPr>
          <w:lang w:eastAsia="x-none"/>
        </w:rPr>
      </w:pPr>
      <w:r>
        <w:rPr>
          <w:lang w:eastAsia="x-none"/>
        </w:rPr>
        <w:tab/>
      </w:r>
    </w:p>
    <w:p w14:paraId="016B3ACA" w14:textId="77777777" w:rsidR="00970D85" w:rsidRPr="00970D85" w:rsidRDefault="00970D85" w:rsidP="00970D85">
      <w:pPr>
        <w:spacing w:before="240" w:after="240"/>
        <w:rPr>
          <w:b/>
          <w:lang w:eastAsia="x-none"/>
        </w:rPr>
      </w:pPr>
      <w:r w:rsidRPr="00970D85">
        <w:rPr>
          <w:b/>
          <w:szCs w:val="20"/>
          <w:lang w:val="en-US"/>
        </w:rPr>
        <w:t>Proposal 1: Work on 1</w:t>
      </w:r>
      <w:r w:rsidRPr="00970D85">
        <w:rPr>
          <w:b/>
          <w:lang w:eastAsia="x-none"/>
        </w:rPr>
        <w:t>5 KHz &amp; 30 KHz SCS for downlink first</w:t>
      </w:r>
    </w:p>
    <w:p w14:paraId="7C51F6FA" w14:textId="53249113" w:rsidR="008834E4" w:rsidRPr="00A929A4" w:rsidRDefault="008834E4" w:rsidP="008834E4">
      <w:pPr>
        <w:pStyle w:val="ListParagraph"/>
        <w:numPr>
          <w:ilvl w:val="0"/>
          <w:numId w:val="50"/>
        </w:numPr>
        <w:spacing w:before="240" w:after="240"/>
        <w:rPr>
          <w:b/>
          <w:szCs w:val="24"/>
          <w:lang w:eastAsia="x-none"/>
        </w:rPr>
      </w:pPr>
      <w:r w:rsidRPr="00A929A4">
        <w:rPr>
          <w:b/>
          <w:lang w:eastAsia="x-none"/>
        </w:rPr>
        <w:t xml:space="preserve">We may study further how much gains we can get by introducing </w:t>
      </w:r>
      <w:proofErr w:type="gramStart"/>
      <w:r w:rsidRPr="00A929A4">
        <w:rPr>
          <w:b/>
          <w:lang w:eastAsia="x-none"/>
        </w:rPr>
        <w:t>60KHz</w:t>
      </w:r>
      <w:proofErr w:type="gramEnd"/>
      <w:r w:rsidRPr="00A929A4">
        <w:rPr>
          <w:b/>
          <w:lang w:eastAsia="x-none"/>
        </w:rPr>
        <w:t xml:space="preserve"> SCS for SSB/PBCH</w:t>
      </w:r>
      <w:r w:rsidRPr="00A929A4">
        <w:rPr>
          <w:b/>
          <w:szCs w:val="20"/>
          <w:lang w:val="en-US"/>
        </w:rPr>
        <w:t xml:space="preserve">. </w:t>
      </w:r>
    </w:p>
    <w:p w14:paraId="3F3C6837" w14:textId="4610C2FA" w:rsidR="00A97B38" w:rsidRPr="00327510" w:rsidRDefault="007B30D6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Signalling the COT structure</w:t>
      </w:r>
    </w:p>
    <w:p w14:paraId="46822A97" w14:textId="57C512A6" w:rsidR="00C71BE6" w:rsidRDefault="00F77252" w:rsidP="00664255">
      <w:pPr>
        <w:spacing w:after="0"/>
        <w:rPr>
          <w:lang w:eastAsia="x-none"/>
        </w:rPr>
      </w:pPr>
      <w:r>
        <w:t xml:space="preserve">In </w:t>
      </w:r>
      <w:r w:rsidR="00F0520D">
        <w:t>RAN1 #93</w:t>
      </w:r>
      <w:r>
        <w:t xml:space="preserve">, it was agreed that </w:t>
      </w:r>
      <w:r w:rsidR="00A250C5">
        <w:rPr>
          <w:lang w:eastAsia="x-none"/>
        </w:rPr>
        <w:t>single and multiple DL to UL and UL to DL switching within a shared gNB COT is identified to be beneficial and can be supported.</w:t>
      </w:r>
      <w:r w:rsidR="00736416">
        <w:rPr>
          <w:lang w:eastAsia="x-none"/>
        </w:rPr>
        <w:t xml:space="preserve"> </w:t>
      </w:r>
      <w:r w:rsidR="00C71BE6">
        <w:rPr>
          <w:lang w:eastAsia="x-none"/>
        </w:rPr>
        <w:t xml:space="preserve">In order to facilitate the COT sharing between gNB and UEs, further signalling mechanism </w:t>
      </w:r>
      <w:r w:rsidR="0091477A">
        <w:rPr>
          <w:lang w:eastAsia="x-none"/>
        </w:rPr>
        <w:t>needs to be</w:t>
      </w:r>
      <w:r w:rsidR="0091477A">
        <w:rPr>
          <w:lang w:eastAsia="x-none"/>
        </w:rPr>
        <w:t xml:space="preserve"> </w:t>
      </w:r>
      <w:r w:rsidR="0091477A">
        <w:rPr>
          <w:lang w:eastAsia="x-none"/>
        </w:rPr>
        <w:t>introduced, at least for indicating the COT structure to a single UE or multiple UEs</w:t>
      </w:r>
      <w:r w:rsidR="00C71BE6">
        <w:rPr>
          <w:lang w:eastAsia="x-none"/>
        </w:rPr>
        <w:t>. GC-PDCCH</w:t>
      </w:r>
      <w:r w:rsidR="007E7BF3">
        <w:rPr>
          <w:lang w:eastAsia="x-none"/>
        </w:rPr>
        <w:t xml:space="preserve"> (</w:t>
      </w:r>
      <w:r w:rsidR="007E7BF3" w:rsidRPr="007E7BF3">
        <w:rPr>
          <w:rFonts w:ascii="TimesNewRomanPSMT" w:hAnsi="TimesNewRomanPSMT"/>
          <w:color w:val="000000"/>
          <w:szCs w:val="20"/>
        </w:rPr>
        <w:t>DCI format 2-0</w:t>
      </w:r>
      <w:r w:rsidR="007E7BF3">
        <w:rPr>
          <w:rFonts w:ascii="TimesNewRomanPSMT" w:hAnsi="TimesNewRomanPSMT"/>
          <w:color w:val="000000"/>
          <w:szCs w:val="20"/>
        </w:rPr>
        <w:t>)</w:t>
      </w:r>
      <w:r w:rsidR="00C71BE6">
        <w:rPr>
          <w:lang w:eastAsia="x-none"/>
        </w:rPr>
        <w:t xml:space="preserve"> </w:t>
      </w:r>
      <w:r w:rsidR="0091477A">
        <w:rPr>
          <w:lang w:eastAsia="x-none"/>
        </w:rPr>
        <w:t xml:space="preserve">is being used for indicating slot format for multiple UEs in Rel-15 NR. We can reuse </w:t>
      </w:r>
      <w:r w:rsidR="0091477A" w:rsidRPr="007E7BF3">
        <w:rPr>
          <w:rFonts w:ascii="TimesNewRomanPSMT" w:hAnsi="TimesNewRomanPSMT"/>
          <w:color w:val="000000"/>
          <w:szCs w:val="20"/>
        </w:rPr>
        <w:t>DCI format 2-0</w:t>
      </w:r>
      <w:r w:rsidR="0091477A">
        <w:rPr>
          <w:rFonts w:ascii="TimesNewRomanPSMT" w:hAnsi="TimesNewRomanPSMT"/>
          <w:color w:val="000000"/>
          <w:szCs w:val="20"/>
        </w:rPr>
        <w:t xml:space="preserve"> for </w:t>
      </w:r>
      <w:r w:rsidR="00C71BE6">
        <w:rPr>
          <w:lang w:eastAsia="x-none"/>
        </w:rPr>
        <w:t>indicat</w:t>
      </w:r>
      <w:r w:rsidR="0091477A">
        <w:rPr>
          <w:lang w:eastAsia="x-none"/>
        </w:rPr>
        <w:t>ing</w:t>
      </w:r>
      <w:r w:rsidR="00C71BE6">
        <w:rPr>
          <w:lang w:eastAsia="x-none"/>
        </w:rPr>
        <w:t xml:space="preserve"> the structure of the COT on how it is constituted with DL and UL </w:t>
      </w:r>
      <w:r w:rsidR="00F0520D">
        <w:rPr>
          <w:lang w:eastAsia="x-none"/>
        </w:rPr>
        <w:t>parts</w:t>
      </w:r>
      <w:r w:rsidR="007E7BF3">
        <w:rPr>
          <w:lang w:eastAsia="x-none"/>
        </w:rPr>
        <w:t xml:space="preserve"> with possible gaps</w:t>
      </w:r>
      <w:r w:rsidR="00C71BE6">
        <w:rPr>
          <w:lang w:eastAsia="x-none"/>
        </w:rPr>
        <w:t>.</w:t>
      </w:r>
      <w:r w:rsidR="007E7BF3">
        <w:rPr>
          <w:lang w:eastAsia="x-none"/>
        </w:rPr>
        <w:t xml:space="preserve"> Details on how to interpret the GC-PDCCH</w:t>
      </w:r>
      <w:r w:rsidR="00524EA9">
        <w:rPr>
          <w:lang w:eastAsia="x-none"/>
        </w:rPr>
        <w:t xml:space="preserve"> and details of the UE behaviour</w:t>
      </w:r>
      <w:r w:rsidR="007E7BF3">
        <w:rPr>
          <w:lang w:eastAsia="x-none"/>
        </w:rPr>
        <w:t xml:space="preserve"> is FFS.</w:t>
      </w:r>
    </w:p>
    <w:p w14:paraId="1B758BD8" w14:textId="77777777" w:rsidR="00C71BE6" w:rsidRDefault="00C71BE6" w:rsidP="00C71BE6">
      <w:pPr>
        <w:spacing w:after="0"/>
        <w:jc w:val="left"/>
        <w:rPr>
          <w:lang w:eastAsia="x-none"/>
        </w:rPr>
      </w:pPr>
    </w:p>
    <w:p w14:paraId="07829871" w14:textId="77777777" w:rsidR="00C71BE6" w:rsidRDefault="00C71BE6" w:rsidP="00C71BE6">
      <w:pPr>
        <w:spacing w:after="0"/>
        <w:jc w:val="left"/>
        <w:rPr>
          <w:lang w:eastAsia="x-none"/>
        </w:rPr>
      </w:pPr>
    </w:p>
    <w:p w14:paraId="09EE8FCF" w14:textId="1ADF2B7F" w:rsidR="008A4A1B" w:rsidRDefault="0087245A" w:rsidP="001B3D8E">
      <w:pPr>
        <w:jc w:val="center"/>
      </w:pPr>
      <w:r w:rsidRPr="0087245A">
        <w:rPr>
          <w:noProof/>
          <w:lang w:val="en-US" w:eastAsia="ko-KR"/>
        </w:rPr>
        <w:drawing>
          <wp:inline distT="0" distB="0" distL="0" distR="0" wp14:anchorId="6911734F" wp14:editId="5DE7A62E">
            <wp:extent cx="3988435" cy="1144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8435" cy="114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5F068" w14:textId="77777777" w:rsidR="0018760D" w:rsidRDefault="0018760D" w:rsidP="001B3D8E">
      <w:pPr>
        <w:jc w:val="center"/>
      </w:pPr>
    </w:p>
    <w:p w14:paraId="771AD08C" w14:textId="48777F9D" w:rsidR="00686235" w:rsidRPr="00736416" w:rsidRDefault="001B3D8E" w:rsidP="00736416">
      <w:pPr>
        <w:jc w:val="center"/>
        <w:rPr>
          <w:b/>
        </w:rPr>
      </w:pPr>
      <w:r w:rsidRPr="009D4688">
        <w:rPr>
          <w:b/>
        </w:rPr>
        <w:t xml:space="preserve">Figure 1: Indication of COT structure via GC-PDCCH </w:t>
      </w:r>
    </w:p>
    <w:p w14:paraId="12DE765D" w14:textId="7E217235" w:rsidR="00A97B38" w:rsidRDefault="00736416" w:rsidP="00A97B38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</w:t>
      </w:r>
      <w:r w:rsidR="0087245A">
        <w:rPr>
          <w:b/>
          <w:szCs w:val="20"/>
          <w:lang w:val="en-US"/>
        </w:rPr>
        <w:t>2</w:t>
      </w:r>
      <w:r w:rsidR="00A97B38">
        <w:rPr>
          <w:b/>
          <w:szCs w:val="20"/>
          <w:lang w:val="en-US"/>
        </w:rPr>
        <w:t xml:space="preserve">: GC-PDCCH indicates how the COT is structured with DL </w:t>
      </w:r>
      <w:r w:rsidR="007E7BF3">
        <w:rPr>
          <w:b/>
          <w:szCs w:val="20"/>
          <w:lang w:val="en-US"/>
        </w:rPr>
        <w:t>parts</w:t>
      </w:r>
      <w:r w:rsidR="00A97B38">
        <w:rPr>
          <w:b/>
          <w:szCs w:val="20"/>
          <w:lang w:val="en-US"/>
        </w:rPr>
        <w:t xml:space="preserve">, UL </w:t>
      </w:r>
      <w:r w:rsidR="007E7BF3">
        <w:rPr>
          <w:b/>
          <w:szCs w:val="20"/>
          <w:lang w:val="en-US"/>
        </w:rPr>
        <w:t>parts</w:t>
      </w:r>
      <w:r w:rsidR="0087245A">
        <w:rPr>
          <w:b/>
          <w:szCs w:val="20"/>
          <w:lang w:val="en-US"/>
        </w:rPr>
        <w:t>, and possibly</w:t>
      </w:r>
      <w:r w:rsidR="00A97B38">
        <w:rPr>
          <w:b/>
          <w:szCs w:val="20"/>
          <w:lang w:val="en-US"/>
        </w:rPr>
        <w:t xml:space="preserve"> gaps. </w:t>
      </w:r>
    </w:p>
    <w:p w14:paraId="1BE2849E" w14:textId="02EB42B5" w:rsidR="00736416" w:rsidRPr="00327510" w:rsidRDefault="00736416" w:rsidP="00736416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Multiple switching points having gap greater than 25 us</w:t>
      </w:r>
    </w:p>
    <w:p w14:paraId="4720906A" w14:textId="18343E4F" w:rsidR="00DB30D7" w:rsidRPr="00E81A3E" w:rsidRDefault="00DB30D7" w:rsidP="0087245A">
      <w:pPr>
        <w:rPr>
          <w:lang w:val="en-US"/>
        </w:rPr>
      </w:pPr>
      <w:r w:rsidRPr="00E81A3E">
        <w:rPr>
          <w:lang w:val="en-US"/>
        </w:rPr>
        <w:lastRenderedPageBreak/>
        <w:t xml:space="preserve">In </w:t>
      </w:r>
      <w:r w:rsidR="0087245A">
        <w:rPr>
          <w:lang w:val="en-US"/>
        </w:rPr>
        <w:t>RAN1 #93</w:t>
      </w:r>
      <w:r w:rsidRPr="00E81A3E">
        <w:rPr>
          <w:lang w:val="en-US"/>
        </w:rPr>
        <w:t xml:space="preserve">, </w:t>
      </w:r>
      <w:r>
        <w:rPr>
          <w:lang w:eastAsia="x-none"/>
        </w:rPr>
        <w:t xml:space="preserve">the use of </w:t>
      </w:r>
      <w:r w:rsidR="00A33AD8">
        <w:rPr>
          <w:lang w:eastAsia="x-none"/>
        </w:rPr>
        <w:t>single</w:t>
      </w:r>
      <w:r>
        <w:rPr>
          <w:lang w:eastAsia="x-none"/>
        </w:rPr>
        <w:t>-</w:t>
      </w:r>
      <w:r w:rsidR="00A33AD8">
        <w:rPr>
          <w:lang w:eastAsia="x-none"/>
        </w:rPr>
        <w:t>interval</w:t>
      </w:r>
      <w:r w:rsidR="00A33AD8">
        <w:rPr>
          <w:lang w:eastAsia="x-none"/>
        </w:rPr>
        <w:t xml:space="preserve"> </w:t>
      </w:r>
      <w:r>
        <w:rPr>
          <w:lang w:eastAsia="x-none"/>
        </w:rPr>
        <w:t>LBT was left FFS for multiple switching points for the gap from DL transmission to UL transmission exceeding 25us.</w:t>
      </w:r>
      <w:r w:rsidR="0087245A">
        <w:rPr>
          <w:lang w:eastAsia="x-none"/>
        </w:rPr>
        <w:t xml:space="preserve"> The usage of </w:t>
      </w:r>
      <w:r w:rsidR="00A33AD8">
        <w:rPr>
          <w:lang w:eastAsia="x-none"/>
        </w:rPr>
        <w:t>single-interval</w:t>
      </w:r>
      <w:r w:rsidR="00A33AD8">
        <w:rPr>
          <w:lang w:eastAsia="x-none"/>
        </w:rPr>
        <w:t xml:space="preserve"> </w:t>
      </w:r>
      <w:r w:rsidR="0087245A">
        <w:rPr>
          <w:lang w:eastAsia="x-none"/>
        </w:rPr>
        <w:t>LBT has to follow the guideline from ETSI BRAN as given in [3]. I</w:t>
      </w:r>
      <w:r w:rsidR="0087245A">
        <w:rPr>
          <w:lang w:val="en-US"/>
        </w:rPr>
        <w:t xml:space="preserve">t is defined in </w:t>
      </w:r>
      <w:r w:rsidR="0087245A" w:rsidRPr="00E81A3E">
        <w:rPr>
          <w:lang w:val="en-US"/>
        </w:rPr>
        <w:t>ETSI BRAN</w:t>
      </w:r>
      <w:r w:rsidR="0087245A">
        <w:rPr>
          <w:lang w:val="en-US"/>
        </w:rPr>
        <w:t xml:space="preserve"> that a</w:t>
      </w:r>
      <w:r w:rsidR="0087245A" w:rsidRPr="00E81A3E">
        <w:rPr>
          <w:lang w:val="en-US"/>
        </w:rPr>
        <w:t xml:space="preserve"> ‘</w:t>
      </w:r>
      <w:r w:rsidR="0087245A" w:rsidRPr="00E81A3E">
        <w:rPr>
          <w:i/>
          <w:lang w:val="en-US"/>
        </w:rPr>
        <w:t>pause</w:t>
      </w:r>
      <w:r w:rsidR="0087245A">
        <w:rPr>
          <w:lang w:val="en-US"/>
        </w:rPr>
        <w:t xml:space="preserve">’ </w:t>
      </w:r>
      <w:r w:rsidRPr="00E81A3E">
        <w:rPr>
          <w:lang w:val="en-US"/>
        </w:rPr>
        <w:t xml:space="preserve">is a time duration of at least 100 </w:t>
      </w:r>
      <w:proofErr w:type="spellStart"/>
      <w:r w:rsidRPr="00E81A3E">
        <w:rPr>
          <w:rFonts w:cs="Times"/>
          <w:lang w:val="en-US"/>
        </w:rPr>
        <w:t>μ</w:t>
      </w:r>
      <w:r w:rsidRPr="00E81A3E">
        <w:rPr>
          <w:lang w:val="en-US"/>
        </w:rPr>
        <w:t>s</w:t>
      </w:r>
      <w:proofErr w:type="spellEnd"/>
      <w:r w:rsidR="0087245A">
        <w:rPr>
          <w:lang w:val="en-US"/>
        </w:rPr>
        <w:t>, but the</w:t>
      </w:r>
      <w:r w:rsidRPr="00E81A3E">
        <w:rPr>
          <w:lang w:val="en-US"/>
        </w:rPr>
        <w:t xml:space="preserve"> number of pauses</w:t>
      </w:r>
      <w:r w:rsidR="009D4688" w:rsidRPr="00E81A3E">
        <w:rPr>
          <w:lang w:val="en-US"/>
        </w:rPr>
        <w:t xml:space="preserve"> itself is not restricted</w:t>
      </w:r>
      <w:r w:rsidR="0087245A">
        <w:rPr>
          <w:lang w:val="en-US"/>
        </w:rPr>
        <w:t>. T</w:t>
      </w:r>
      <w:r w:rsidR="009D4688" w:rsidRPr="00E81A3E">
        <w:rPr>
          <w:lang w:val="en-US"/>
        </w:rPr>
        <w:t xml:space="preserve">he use of pause is rather restricted by the total paused duration as follows: </w:t>
      </w:r>
    </w:p>
    <w:p w14:paraId="4751157D" w14:textId="5BC1C074" w:rsidR="00DB30D7" w:rsidRPr="00A929A4" w:rsidRDefault="00DB30D7" w:rsidP="00DB30D7">
      <w:pPr>
        <w:ind w:left="720"/>
        <w:rPr>
          <w:i/>
          <w:lang w:val="en-US"/>
        </w:rPr>
      </w:pPr>
      <w:r w:rsidRPr="00A929A4">
        <w:rPr>
          <w:i/>
          <w:lang w:val="en-US"/>
        </w:rPr>
        <w:t>“</w:t>
      </w:r>
      <w:r w:rsidR="00A929A4" w:rsidRPr="00A929A4">
        <w:rPr>
          <w:rFonts w:ascii="Times-Roman" w:hAnsi="Times-Roman"/>
          <w:i/>
          <w:color w:val="000000"/>
          <w:szCs w:val="20"/>
        </w:rPr>
        <w:t xml:space="preserve">If a </w:t>
      </w:r>
      <w:r w:rsidR="00A929A4" w:rsidRPr="00A929A4">
        <w:rPr>
          <w:rFonts w:ascii="Times-Italic" w:hAnsi="Times-Italic"/>
          <w:i/>
          <w:iCs/>
          <w:color w:val="000000"/>
          <w:szCs w:val="20"/>
        </w:rPr>
        <w:t xml:space="preserve">Channel Occupancy </w:t>
      </w:r>
      <w:r w:rsidR="00A929A4" w:rsidRPr="00A929A4">
        <w:rPr>
          <w:rFonts w:ascii="Times-Roman" w:hAnsi="Times-Roman"/>
          <w:i/>
          <w:color w:val="000000"/>
          <w:szCs w:val="20"/>
        </w:rPr>
        <w:t xml:space="preserve">consists of more than one transmission the transmissions may be separated by </w:t>
      </w:r>
      <w:r w:rsidR="00A929A4" w:rsidRPr="00A929A4">
        <w:rPr>
          <w:rFonts w:ascii="Times-Roman" w:hAnsi="Times-Roman"/>
          <w:b/>
          <w:i/>
          <w:color w:val="000000"/>
          <w:szCs w:val="20"/>
        </w:rPr>
        <w:t>gaps</w:t>
      </w:r>
      <w:r w:rsidR="00A929A4" w:rsidRPr="00A929A4">
        <w:rPr>
          <w:rFonts w:ascii="Times-Roman" w:hAnsi="Times-Roman"/>
          <w:i/>
          <w:color w:val="000000"/>
          <w:szCs w:val="20"/>
        </w:rPr>
        <w:t>. The</w:t>
      </w:r>
      <w:r w:rsidR="00A929A4" w:rsidRPr="00A929A4">
        <w:rPr>
          <w:rFonts w:ascii="Times-Roman" w:hAnsi="Times-Roman"/>
          <w:i/>
          <w:color w:val="000000"/>
          <w:szCs w:val="20"/>
        </w:rPr>
        <w:br/>
      </w:r>
      <w:r w:rsidR="00A929A4" w:rsidRPr="00A929A4">
        <w:rPr>
          <w:rFonts w:ascii="Times-Italic" w:hAnsi="Times-Italic"/>
          <w:i/>
          <w:iCs/>
          <w:color w:val="000000"/>
          <w:szCs w:val="20"/>
        </w:rPr>
        <w:t xml:space="preserve">Channel Occupancy Time </w:t>
      </w:r>
      <w:r w:rsidR="00A929A4" w:rsidRPr="00A929A4">
        <w:rPr>
          <w:rFonts w:ascii="Times-Roman" w:hAnsi="Times-Roman"/>
          <w:i/>
          <w:color w:val="000000"/>
          <w:szCs w:val="20"/>
        </w:rPr>
        <w:t>is the total duration of all transmissions and all gaps of 25 µs duration or less within a</w:t>
      </w:r>
      <w:r w:rsidR="00A929A4" w:rsidRPr="00A929A4">
        <w:rPr>
          <w:rFonts w:ascii="Times-Roman" w:hAnsi="Times-Roman"/>
          <w:i/>
          <w:color w:val="000000"/>
          <w:szCs w:val="20"/>
        </w:rPr>
        <w:br/>
      </w:r>
      <w:r w:rsidR="00A929A4" w:rsidRPr="00A929A4">
        <w:rPr>
          <w:rFonts w:ascii="Times-Italic" w:hAnsi="Times-Italic"/>
          <w:i/>
          <w:iCs/>
          <w:color w:val="000000"/>
          <w:szCs w:val="20"/>
        </w:rPr>
        <w:t xml:space="preserve">Channel Occupancy </w:t>
      </w:r>
      <w:r w:rsidR="00A929A4" w:rsidRPr="00A929A4">
        <w:rPr>
          <w:rFonts w:ascii="Times-Roman" w:hAnsi="Times-Roman"/>
          <w:i/>
          <w:color w:val="000000"/>
          <w:szCs w:val="20"/>
        </w:rPr>
        <w:t xml:space="preserve">and shall not exceed the maximum </w:t>
      </w:r>
      <w:r w:rsidR="00A929A4" w:rsidRPr="00A929A4">
        <w:rPr>
          <w:rFonts w:ascii="Times-Italic" w:hAnsi="Times-Italic"/>
          <w:i/>
          <w:iCs/>
          <w:color w:val="000000"/>
          <w:szCs w:val="20"/>
        </w:rPr>
        <w:t xml:space="preserve">Channel Occupancy Time </w:t>
      </w:r>
      <w:r w:rsidR="00A929A4" w:rsidRPr="00A929A4">
        <w:rPr>
          <w:rFonts w:ascii="Times-Roman" w:hAnsi="Times-Roman"/>
          <w:i/>
          <w:color w:val="000000"/>
          <w:szCs w:val="20"/>
        </w:rPr>
        <w:t xml:space="preserve">in table 7 and table 8. </w:t>
      </w:r>
      <w:r w:rsidR="00A929A4" w:rsidRPr="00A929A4">
        <w:rPr>
          <w:rFonts w:ascii="Times-Roman" w:hAnsi="Times-Roman"/>
          <w:b/>
          <w:i/>
          <w:color w:val="000000"/>
          <w:szCs w:val="20"/>
        </w:rPr>
        <w:t xml:space="preserve">The duration from the start of the first transmission within a </w:t>
      </w:r>
      <w:r w:rsidR="00A929A4" w:rsidRPr="00A929A4">
        <w:rPr>
          <w:rFonts w:ascii="Times-Italic" w:hAnsi="Times-Italic"/>
          <w:b/>
          <w:i/>
          <w:iCs/>
          <w:color w:val="000000"/>
          <w:szCs w:val="20"/>
        </w:rPr>
        <w:t xml:space="preserve">Channel Occupancy </w:t>
      </w:r>
      <w:r w:rsidR="00A929A4" w:rsidRPr="00A929A4">
        <w:rPr>
          <w:rFonts w:ascii="Times-Roman" w:hAnsi="Times-Roman"/>
          <w:b/>
          <w:i/>
          <w:color w:val="000000"/>
          <w:szCs w:val="20"/>
        </w:rPr>
        <w:t xml:space="preserve">until the end of the last transmission in that same </w:t>
      </w:r>
      <w:r w:rsidR="00A929A4" w:rsidRPr="00A929A4">
        <w:rPr>
          <w:rFonts w:ascii="Times-Italic" w:hAnsi="Times-Italic"/>
          <w:b/>
          <w:i/>
          <w:iCs/>
          <w:color w:val="000000"/>
          <w:szCs w:val="20"/>
        </w:rPr>
        <w:t xml:space="preserve">Channel Occupancy </w:t>
      </w:r>
      <w:r w:rsidR="00A929A4" w:rsidRPr="00A929A4">
        <w:rPr>
          <w:rFonts w:ascii="Times-Roman" w:hAnsi="Times-Roman"/>
          <w:b/>
          <w:i/>
          <w:color w:val="000000"/>
          <w:szCs w:val="20"/>
        </w:rPr>
        <w:t xml:space="preserve">shall not exceed 20 </w:t>
      </w:r>
      <w:proofErr w:type="spellStart"/>
      <w:r w:rsidR="00A929A4" w:rsidRPr="00A929A4">
        <w:rPr>
          <w:rFonts w:ascii="Times-Roman" w:hAnsi="Times-Roman"/>
          <w:b/>
          <w:i/>
          <w:color w:val="000000"/>
          <w:szCs w:val="20"/>
        </w:rPr>
        <w:t>ms</w:t>
      </w:r>
      <w:proofErr w:type="spellEnd"/>
      <w:r w:rsidR="00A929A4" w:rsidRPr="00A929A4">
        <w:rPr>
          <w:rFonts w:ascii="Times-Roman" w:hAnsi="Times-Roman"/>
          <w:i/>
          <w:color w:val="000000"/>
          <w:szCs w:val="20"/>
        </w:rPr>
        <w:t>.”</w:t>
      </w:r>
    </w:p>
    <w:p w14:paraId="3A64ABE2" w14:textId="38D3D886" w:rsidR="009D4688" w:rsidRPr="00E81A3E" w:rsidRDefault="009D4688" w:rsidP="00E81A3E">
      <w:pPr>
        <w:rPr>
          <w:lang w:val="en-US"/>
        </w:rPr>
      </w:pPr>
      <w:r w:rsidRPr="00E81A3E">
        <w:rPr>
          <w:lang w:val="en-US"/>
        </w:rPr>
        <w:t>As the number of ‘pause’ itself is not restricted by ETSI BRAN</w:t>
      </w:r>
      <w:r w:rsidR="00A33AD8">
        <w:rPr>
          <w:lang w:val="en-US"/>
        </w:rPr>
        <w:t xml:space="preserve"> regulation</w:t>
      </w:r>
      <w:r w:rsidRPr="00E81A3E">
        <w:rPr>
          <w:lang w:val="en-US"/>
        </w:rPr>
        <w:t xml:space="preserve">, the use of multiple pauses in a COT by NR-unlicensed system does not need to be limited as long as the total duration of COT does not exceed 20 </w:t>
      </w:r>
      <w:proofErr w:type="spellStart"/>
      <w:r w:rsidRPr="00E81A3E">
        <w:rPr>
          <w:lang w:val="en-US"/>
        </w:rPr>
        <w:t>ms</w:t>
      </w:r>
      <w:proofErr w:type="spellEnd"/>
      <w:r w:rsidRPr="00E81A3E">
        <w:rPr>
          <w:lang w:val="en-US"/>
        </w:rPr>
        <w:t xml:space="preserve"> including paused durations. </w:t>
      </w:r>
    </w:p>
    <w:p w14:paraId="7AC41032" w14:textId="77777777" w:rsidR="009D4688" w:rsidRDefault="009D4688" w:rsidP="00E81A3E">
      <w:pPr>
        <w:rPr>
          <w:lang w:val="en-US"/>
        </w:rPr>
      </w:pPr>
    </w:p>
    <w:p w14:paraId="0FDEBF73" w14:textId="77777777" w:rsidR="009D4688" w:rsidRDefault="009D4688" w:rsidP="009D4688">
      <w:pPr>
        <w:jc w:val="center"/>
        <w:rPr>
          <w:b/>
          <w:lang w:val="en-US"/>
        </w:rPr>
      </w:pPr>
      <w:r w:rsidRPr="002D3DDA">
        <w:rPr>
          <w:b/>
          <w:noProof/>
          <w:lang w:val="en-US" w:eastAsia="ko-KR"/>
        </w:rPr>
        <w:drawing>
          <wp:inline distT="0" distB="0" distL="0" distR="0" wp14:anchorId="7CAC5349" wp14:editId="7D03FA10">
            <wp:extent cx="2978787" cy="1172762"/>
            <wp:effectExtent l="0" t="0" r="0" b="8890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05754" cy="1183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6363DC" w14:textId="77777777" w:rsidR="009D4688" w:rsidRPr="002D3DDA" w:rsidRDefault="009D4688" w:rsidP="009D4688">
      <w:pPr>
        <w:jc w:val="center"/>
        <w:rPr>
          <w:b/>
          <w:lang w:val="en-US"/>
        </w:rPr>
      </w:pPr>
    </w:p>
    <w:p w14:paraId="52FADAE5" w14:textId="1BFCD0D1" w:rsidR="009D4688" w:rsidRPr="009D4688" w:rsidRDefault="009D4688" w:rsidP="009D4688">
      <w:pPr>
        <w:jc w:val="center"/>
        <w:rPr>
          <w:b/>
        </w:rPr>
      </w:pPr>
      <w:r w:rsidRPr="009D4688">
        <w:rPr>
          <w:b/>
        </w:rPr>
        <w:t xml:space="preserve">Figure 2: Multiple pauses </w:t>
      </w:r>
      <w:r w:rsidR="00A33AD8">
        <w:rPr>
          <w:b/>
        </w:rPr>
        <w:t xml:space="preserve">are allowed </w:t>
      </w:r>
      <w:r w:rsidRPr="009D4688">
        <w:rPr>
          <w:b/>
        </w:rPr>
        <w:t>in a COT, which is restricted by total duration including paused duration</w:t>
      </w:r>
      <w:r>
        <w:rPr>
          <w:b/>
        </w:rPr>
        <w:t>s</w:t>
      </w:r>
    </w:p>
    <w:p w14:paraId="4EAE4D77" w14:textId="77777777" w:rsidR="009D4688" w:rsidRPr="009D4688" w:rsidRDefault="009D4688" w:rsidP="009D4688"/>
    <w:p w14:paraId="4EADFA53" w14:textId="4876565B" w:rsidR="009D4688" w:rsidRDefault="00E81A3E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</w:t>
      </w:r>
      <w:r w:rsidR="00A929A4">
        <w:rPr>
          <w:b/>
          <w:szCs w:val="20"/>
          <w:lang w:val="en-US"/>
        </w:rPr>
        <w:t>3</w:t>
      </w:r>
      <w:r w:rsidR="009D4688">
        <w:rPr>
          <w:b/>
          <w:szCs w:val="20"/>
          <w:lang w:val="en-US"/>
        </w:rPr>
        <w:t>:</w:t>
      </w:r>
      <w:r w:rsidR="009D4688" w:rsidRPr="009D4688">
        <w:rPr>
          <w:b/>
          <w:szCs w:val="20"/>
          <w:lang w:val="en-US"/>
        </w:rPr>
        <w:t xml:space="preserve"> </w:t>
      </w:r>
      <w:r w:rsidR="00977AA4">
        <w:rPr>
          <w:b/>
          <w:szCs w:val="20"/>
          <w:lang w:val="en-US"/>
        </w:rPr>
        <w:t>M</w:t>
      </w:r>
      <w:r w:rsidR="009D4688" w:rsidRPr="009D4688">
        <w:rPr>
          <w:b/>
          <w:szCs w:val="20"/>
          <w:lang w:val="en-US"/>
        </w:rPr>
        <w:t>ultiple switching points for the gap</w:t>
      </w:r>
      <w:r w:rsidR="009D4688">
        <w:rPr>
          <w:b/>
          <w:szCs w:val="20"/>
          <w:lang w:val="en-US"/>
        </w:rPr>
        <w:t xml:space="preserve"> exceeding 25 us within a COT is al</w:t>
      </w:r>
      <w:r w:rsidR="00A97B38">
        <w:rPr>
          <w:b/>
          <w:szCs w:val="20"/>
          <w:lang w:val="en-US"/>
        </w:rPr>
        <w:t xml:space="preserve">lowed with single interval LBT as long as the total duration including the paused duration does not exceed 20 </w:t>
      </w:r>
      <w:proofErr w:type="spellStart"/>
      <w:r w:rsidR="00A97B38">
        <w:rPr>
          <w:b/>
          <w:szCs w:val="20"/>
          <w:lang w:val="en-US"/>
        </w:rPr>
        <w:t>ms.</w:t>
      </w:r>
      <w:proofErr w:type="spellEnd"/>
      <w:r w:rsidR="00A97B38">
        <w:rPr>
          <w:b/>
          <w:szCs w:val="20"/>
          <w:lang w:val="en-US"/>
        </w:rPr>
        <w:t xml:space="preserve"> </w:t>
      </w:r>
    </w:p>
    <w:p w14:paraId="204EF080" w14:textId="190D9074" w:rsidR="00A929A4" w:rsidRPr="00327510" w:rsidRDefault="00A929A4" w:rsidP="00A929A4">
      <w:pPr>
        <w:pStyle w:val="Heading1"/>
        <w:keepNext w:val="0"/>
        <w:widowControl w:val="0"/>
        <w:spacing w:before="480" w:after="120"/>
        <w:ind w:left="518" w:hanging="518"/>
        <w:rPr>
          <w:sz w:val="28"/>
        </w:rPr>
      </w:pPr>
      <w:r>
        <w:rPr>
          <w:sz w:val="28"/>
        </w:rPr>
        <w:t>Mini-slot</w:t>
      </w:r>
    </w:p>
    <w:p w14:paraId="351C78B1" w14:textId="7F501CBE" w:rsidR="00A929A4" w:rsidRDefault="003314B7" w:rsidP="00A929A4">
      <w:pPr>
        <w:rPr>
          <w:lang w:val="en-US"/>
        </w:rPr>
      </w:pPr>
      <w:r>
        <w:rPr>
          <w:lang w:val="en-US"/>
        </w:rPr>
        <w:t>We have introduced partial subframe during the LAA standardization because of the lack of shortened TTI in Rel-13 LTE.</w:t>
      </w:r>
      <w:r>
        <w:rPr>
          <w:lang w:val="en-US"/>
        </w:rPr>
        <w:t xml:space="preserve"> However, </w:t>
      </w:r>
      <w:r w:rsidR="00A929A4" w:rsidRPr="00A929A4">
        <w:rPr>
          <w:lang w:val="en-US"/>
        </w:rPr>
        <w:t xml:space="preserve">Rel-15 NR supports </w:t>
      </w:r>
      <w:r w:rsidR="00CC5B6D">
        <w:rPr>
          <w:lang w:val="en-US"/>
        </w:rPr>
        <w:t xml:space="preserve">both type-A and type-B resource mapping for PDSCH and PUSCH, where type-A is </w:t>
      </w:r>
      <w:r>
        <w:rPr>
          <w:lang w:val="en-US"/>
        </w:rPr>
        <w:t xml:space="preserve">for </w:t>
      </w:r>
      <w:r w:rsidR="00CC5B6D">
        <w:rPr>
          <w:lang w:val="en-US"/>
        </w:rPr>
        <w:t xml:space="preserve">slot-based transmission and type-B is </w:t>
      </w:r>
      <w:r>
        <w:rPr>
          <w:lang w:val="en-US"/>
        </w:rPr>
        <w:t xml:space="preserve">for </w:t>
      </w:r>
      <w:r w:rsidR="00CC5B6D">
        <w:rPr>
          <w:lang w:val="en-US"/>
        </w:rPr>
        <w:t xml:space="preserve">non-slot based transmission. For type-B, we have lengths of 2, 4, 7 symbols for PDSCH and more flexible lengths for PUSCH. </w:t>
      </w:r>
      <w:r w:rsidR="00AD2974">
        <w:rPr>
          <w:lang w:val="en-US"/>
        </w:rPr>
        <w:t xml:space="preserve">And also flexible starting positions are supported. </w:t>
      </w:r>
      <w:r>
        <w:rPr>
          <w:lang w:val="en-US"/>
        </w:rPr>
        <w:t>B</w:t>
      </w:r>
      <w:r w:rsidR="00AD2974">
        <w:rPr>
          <w:lang w:val="en-US"/>
        </w:rPr>
        <w:t xml:space="preserve">ased on supports of flexible type-B mapping, NR-U </w:t>
      </w:r>
      <w:r>
        <w:rPr>
          <w:lang w:val="en-US"/>
        </w:rPr>
        <w:t>does</w:t>
      </w:r>
      <w:r>
        <w:rPr>
          <w:lang w:val="en-US"/>
        </w:rPr>
        <w:t xml:space="preserve"> </w:t>
      </w:r>
      <w:r w:rsidR="00AD2974">
        <w:rPr>
          <w:lang w:val="en-US"/>
        </w:rPr>
        <w:t xml:space="preserve">not need to introduce additional </w:t>
      </w:r>
      <w:r>
        <w:rPr>
          <w:lang w:val="en-US"/>
        </w:rPr>
        <w:t xml:space="preserve">resource </w:t>
      </w:r>
      <w:r w:rsidR="00AD2974">
        <w:rPr>
          <w:lang w:val="en-US"/>
        </w:rPr>
        <w:t>mapping both for uplink and downlink.</w:t>
      </w:r>
    </w:p>
    <w:p w14:paraId="3075EB8D" w14:textId="1BBB163F" w:rsidR="00AD2974" w:rsidRDefault="00AD2974" w:rsidP="00AD2974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>Proposal 4:</w:t>
      </w:r>
      <w:r w:rsidRPr="009D4688">
        <w:rPr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 xml:space="preserve">Type-B resource mapping is sufficient for supporting </w:t>
      </w:r>
      <w:r w:rsidR="003314B7">
        <w:rPr>
          <w:b/>
          <w:szCs w:val="20"/>
          <w:lang w:val="en-US"/>
        </w:rPr>
        <w:t xml:space="preserve">flexible </w:t>
      </w:r>
      <w:r>
        <w:rPr>
          <w:b/>
          <w:szCs w:val="20"/>
          <w:lang w:val="en-US"/>
        </w:rPr>
        <w:t xml:space="preserve">mini-slot based transmission both for uplink and downlink </w:t>
      </w:r>
    </w:p>
    <w:p w14:paraId="74CE7BF2" w14:textId="77777777" w:rsidR="00AD2974" w:rsidRPr="00A929A4" w:rsidRDefault="00AD2974" w:rsidP="00A929A4">
      <w:pPr>
        <w:rPr>
          <w:lang w:val="en-US"/>
        </w:rPr>
      </w:pPr>
    </w:p>
    <w:p w14:paraId="499EDE34" w14:textId="77777777" w:rsidR="000176A4" w:rsidRPr="0099619E" w:rsidRDefault="000D3BD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 w:rsidRPr="0099619E">
        <w:rPr>
          <w:sz w:val="28"/>
          <w:lang w:val="en-US"/>
        </w:rPr>
        <w:t>Conclusion</w:t>
      </w:r>
    </w:p>
    <w:p w14:paraId="293246EE" w14:textId="530F5C36" w:rsidR="002215C1" w:rsidRDefault="002215C1" w:rsidP="002215C1">
      <w:r>
        <w:t>In this contribution,</w:t>
      </w:r>
      <w:r w:rsidRPr="005148A8">
        <w:t xml:space="preserve"> </w:t>
      </w:r>
      <w:r>
        <w:t xml:space="preserve">we discussed </w:t>
      </w:r>
      <w:r w:rsidR="003C0E28">
        <w:t>frame structure related issues and</w:t>
      </w:r>
      <w:r>
        <w:t xml:space="preserve"> we derived the following proposals:</w:t>
      </w:r>
    </w:p>
    <w:p w14:paraId="6716423A" w14:textId="77777777" w:rsidR="00CB47DF" w:rsidRPr="00970D85" w:rsidRDefault="00CB47DF" w:rsidP="00CB47DF">
      <w:pPr>
        <w:spacing w:before="240" w:after="240"/>
        <w:rPr>
          <w:b/>
          <w:lang w:eastAsia="x-none"/>
        </w:rPr>
      </w:pPr>
      <w:r w:rsidRPr="00970D85">
        <w:rPr>
          <w:b/>
          <w:szCs w:val="20"/>
          <w:lang w:val="en-US"/>
        </w:rPr>
        <w:t>Proposal 1: Work on 1</w:t>
      </w:r>
      <w:r w:rsidRPr="00970D85">
        <w:rPr>
          <w:b/>
          <w:lang w:eastAsia="x-none"/>
        </w:rPr>
        <w:t>5 KHz &amp; 30 KHz SCS for downlink first</w:t>
      </w:r>
    </w:p>
    <w:p w14:paraId="5BF789EE" w14:textId="77777777" w:rsidR="00CB47DF" w:rsidRPr="00A929A4" w:rsidRDefault="00CB47DF" w:rsidP="00CB47DF">
      <w:pPr>
        <w:pStyle w:val="ListParagraph"/>
        <w:numPr>
          <w:ilvl w:val="0"/>
          <w:numId w:val="50"/>
        </w:numPr>
        <w:spacing w:before="240" w:after="240"/>
        <w:rPr>
          <w:b/>
          <w:szCs w:val="24"/>
          <w:lang w:eastAsia="x-none"/>
        </w:rPr>
      </w:pPr>
      <w:r w:rsidRPr="00A929A4">
        <w:rPr>
          <w:b/>
          <w:lang w:eastAsia="x-none"/>
        </w:rPr>
        <w:t xml:space="preserve">We may study further how much gains we can get by introducing </w:t>
      </w:r>
      <w:proofErr w:type="gramStart"/>
      <w:r w:rsidRPr="00A929A4">
        <w:rPr>
          <w:b/>
          <w:lang w:eastAsia="x-none"/>
        </w:rPr>
        <w:t>60KHz</w:t>
      </w:r>
      <w:proofErr w:type="gramEnd"/>
      <w:r w:rsidRPr="00A929A4">
        <w:rPr>
          <w:b/>
          <w:lang w:eastAsia="x-none"/>
        </w:rPr>
        <w:t xml:space="preserve"> SCS for SSB/PBCH</w:t>
      </w:r>
      <w:r w:rsidRPr="00A929A4">
        <w:rPr>
          <w:b/>
          <w:szCs w:val="20"/>
          <w:lang w:val="en-US"/>
        </w:rPr>
        <w:t xml:space="preserve">. </w:t>
      </w:r>
    </w:p>
    <w:p w14:paraId="7199EDA4" w14:textId="77777777" w:rsidR="00CB47DF" w:rsidRDefault="00CB47DF" w:rsidP="00CB47DF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 xml:space="preserve">Proposal 2: GC-PDCCH indicates how the COT is structured with DL parts, UL parts, and possibly gaps. </w:t>
      </w:r>
    </w:p>
    <w:p w14:paraId="0C702B83" w14:textId="77777777" w:rsidR="00CB47DF" w:rsidRDefault="00CB47DF" w:rsidP="00CB47DF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t>Proposal 3:</w:t>
      </w:r>
      <w:r w:rsidRPr="009D4688">
        <w:rPr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>M</w:t>
      </w:r>
      <w:r w:rsidRPr="009D4688">
        <w:rPr>
          <w:b/>
          <w:szCs w:val="20"/>
          <w:lang w:val="en-US"/>
        </w:rPr>
        <w:t>ultiple switching points for the gap</w:t>
      </w:r>
      <w:r>
        <w:rPr>
          <w:b/>
          <w:szCs w:val="20"/>
          <w:lang w:val="en-US"/>
        </w:rPr>
        <w:t xml:space="preserve"> exceeding 25 us within a COT is allowed with single interval LBT as long as the total duration including the paused duration does not exceed 20 </w:t>
      </w:r>
      <w:proofErr w:type="spellStart"/>
      <w:r>
        <w:rPr>
          <w:b/>
          <w:szCs w:val="20"/>
          <w:lang w:val="en-US"/>
        </w:rPr>
        <w:t>ms.</w:t>
      </w:r>
      <w:proofErr w:type="spellEnd"/>
      <w:r>
        <w:rPr>
          <w:b/>
          <w:szCs w:val="20"/>
          <w:lang w:val="en-US"/>
        </w:rPr>
        <w:t xml:space="preserve"> </w:t>
      </w:r>
    </w:p>
    <w:p w14:paraId="72E61C3B" w14:textId="77777777" w:rsidR="002B795F" w:rsidRDefault="002B795F" w:rsidP="002B795F">
      <w:pPr>
        <w:spacing w:before="240" w:after="240"/>
        <w:rPr>
          <w:b/>
          <w:szCs w:val="20"/>
          <w:lang w:val="en-US"/>
        </w:rPr>
      </w:pPr>
      <w:r>
        <w:rPr>
          <w:b/>
          <w:szCs w:val="20"/>
          <w:lang w:val="en-US"/>
        </w:rPr>
        <w:lastRenderedPageBreak/>
        <w:t>Proposal 4:</w:t>
      </w:r>
      <w:r w:rsidRPr="009D4688">
        <w:rPr>
          <w:b/>
          <w:szCs w:val="20"/>
          <w:lang w:val="en-US"/>
        </w:rPr>
        <w:t xml:space="preserve"> </w:t>
      </w:r>
      <w:r>
        <w:rPr>
          <w:b/>
          <w:szCs w:val="20"/>
          <w:lang w:val="en-US"/>
        </w:rPr>
        <w:t xml:space="preserve">Type-B resource mapping is sufficient for supporting flexible mini-slot based transmission both for uplink and downlink </w:t>
      </w:r>
    </w:p>
    <w:p w14:paraId="568D0875" w14:textId="77777777" w:rsidR="00427643" w:rsidRDefault="00427643" w:rsidP="00664255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14:paraId="5BB1FA9C" w14:textId="5CA0F605" w:rsidR="00B97E5E" w:rsidRPr="00B97E5E" w:rsidRDefault="00B97E5E" w:rsidP="00B97E5E">
      <w:pPr>
        <w:ind w:left="360"/>
      </w:pPr>
      <w:r w:rsidRPr="00B97E5E">
        <w:rPr>
          <w:lang w:val="en-US"/>
        </w:rPr>
        <w:t xml:space="preserve">[1] </w:t>
      </w:r>
      <w:r w:rsidRPr="00B97E5E">
        <w:t>RAN1 Chairman’s Notes, 3GPP TSG RAN WG1 Meeting #93, May, 2018.</w:t>
      </w:r>
    </w:p>
    <w:p w14:paraId="4C108FD5" w14:textId="1091B9C3" w:rsidR="00B97E5E" w:rsidRDefault="00B97E5E" w:rsidP="00B97E5E">
      <w:pPr>
        <w:pStyle w:val="BodyText"/>
        <w:overflowPunct w:val="0"/>
        <w:ind w:left="360"/>
        <w:textAlignment w:val="baseline"/>
        <w:rPr>
          <w:rFonts w:ascii="Times New Roman" w:hAnsi="Times New Roman"/>
        </w:rPr>
      </w:pPr>
      <w:r w:rsidRPr="00396B04">
        <w:rPr>
          <w:rFonts w:ascii="Times New Roman" w:hAnsi="Times New Roman"/>
        </w:rPr>
        <w:t>[</w:t>
      </w:r>
      <w:r>
        <w:rPr>
          <w:rFonts w:ascii="Times New Roman" w:hAnsi="Times New Roman"/>
        </w:rPr>
        <w:t>2</w:t>
      </w:r>
      <w:r w:rsidRPr="00396B04">
        <w:rPr>
          <w:rFonts w:ascii="Times New Roman" w:hAnsi="Times New Roman"/>
        </w:rPr>
        <w:t xml:space="preserve">] </w:t>
      </w:r>
      <w:r>
        <w:rPr>
          <w:rFonts w:ascii="Times New Roman" w:hAnsi="Times New Roman"/>
        </w:rPr>
        <w:t>RAN1 Chairman’s Notes, 3GPP TSG RAN WG1 Meeting #94, August, 2018.</w:t>
      </w:r>
    </w:p>
    <w:p w14:paraId="2718EA6E" w14:textId="2554234B" w:rsidR="0050700A" w:rsidRPr="00532F30" w:rsidRDefault="00AA6192" w:rsidP="00B97E5E">
      <w:pPr>
        <w:pStyle w:val="BodyText"/>
        <w:overflowPunct w:val="0"/>
        <w:ind w:left="36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B97E5E">
        <w:rPr>
          <w:rFonts w:ascii="Times New Roman" w:hAnsi="Times New Roman"/>
        </w:rPr>
        <w:t>3</w:t>
      </w:r>
      <w:r>
        <w:rPr>
          <w:rFonts w:ascii="Times New Roman" w:hAnsi="Times New Roman"/>
        </w:rPr>
        <w:t xml:space="preserve">] ETSI EN 301.893, 5 GHz RAN; Harmonised Standard </w:t>
      </w:r>
      <w:r w:rsidRPr="00FE5E96">
        <w:rPr>
          <w:rFonts w:ascii="Times New Roman" w:hAnsi="Times New Roman"/>
        </w:rPr>
        <w:t>covering the essential requirements</w:t>
      </w:r>
      <w:r>
        <w:rPr>
          <w:rFonts w:ascii="Times New Roman" w:hAnsi="Times New Roman"/>
        </w:rPr>
        <w:t xml:space="preserve"> </w:t>
      </w:r>
      <w:r w:rsidRPr="00FE5E96">
        <w:rPr>
          <w:rFonts w:ascii="Times New Roman" w:hAnsi="Times New Roman"/>
        </w:rPr>
        <w:t>of article 3.2 of Directive 2014/53/EU</w:t>
      </w:r>
      <w:r>
        <w:rPr>
          <w:rFonts w:ascii="Times New Roman" w:hAnsi="Times New Roman"/>
        </w:rPr>
        <w:t xml:space="preserve"> V2.1.1, 2017-05</w:t>
      </w:r>
      <w:r w:rsidR="00977AA4">
        <w:rPr>
          <w:rFonts w:ascii="Times New Roman" w:hAnsi="Times New Roman"/>
        </w:rPr>
        <w:t>.</w:t>
      </w:r>
      <w:r w:rsidR="008E205A">
        <w:rPr>
          <w:rFonts w:ascii="Times New Roman" w:hAnsi="Times New Roman"/>
        </w:rPr>
        <w:t xml:space="preserve"> </w:t>
      </w:r>
    </w:p>
    <w:sectPr w:rsidR="0050700A" w:rsidRPr="00532F30" w:rsidSect="0012020F">
      <w:footerReference w:type="default" r:id="rId14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C8E0A5" w14:textId="77777777" w:rsidR="00274128" w:rsidRDefault="00274128"/>
  </w:endnote>
  <w:endnote w:type="continuationSeparator" w:id="0">
    <w:p w14:paraId="59763FF1" w14:textId="77777777" w:rsidR="00274128" w:rsidRDefault="002741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37706" w14:textId="77777777" w:rsidR="003C5EEE" w:rsidRDefault="003C5EEE">
    <w:pPr>
      <w:pStyle w:val="Footer"/>
    </w:pPr>
  </w:p>
  <w:p w14:paraId="43FA2102" w14:textId="77777777" w:rsidR="003C5EEE" w:rsidRDefault="003C5E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BB6F7" w14:textId="77777777" w:rsidR="00274128" w:rsidRDefault="00274128"/>
  </w:footnote>
  <w:footnote w:type="continuationSeparator" w:id="0">
    <w:p w14:paraId="6DB887A4" w14:textId="77777777" w:rsidR="00274128" w:rsidRDefault="0027412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309122B"/>
    <w:multiLevelType w:val="hybridMultilevel"/>
    <w:tmpl w:val="70C81C3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E2C1B"/>
    <w:multiLevelType w:val="hybridMultilevel"/>
    <w:tmpl w:val="1E24C3BE"/>
    <w:lvl w:ilvl="0" w:tplc="B514478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A06CC"/>
    <w:multiLevelType w:val="hybridMultilevel"/>
    <w:tmpl w:val="EB084D94"/>
    <w:lvl w:ilvl="0" w:tplc="C8E454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02AB1"/>
    <w:multiLevelType w:val="hybridMultilevel"/>
    <w:tmpl w:val="9F70370C"/>
    <w:lvl w:ilvl="0" w:tplc="B5144780">
      <w:start w:val="2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43745"/>
    <w:multiLevelType w:val="hybridMultilevel"/>
    <w:tmpl w:val="89087224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6090A74"/>
    <w:multiLevelType w:val="hybridMultilevel"/>
    <w:tmpl w:val="48EC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51339"/>
    <w:multiLevelType w:val="hybridMultilevel"/>
    <w:tmpl w:val="F44A5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A25246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1075F"/>
    <w:multiLevelType w:val="hybridMultilevel"/>
    <w:tmpl w:val="E45C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61510"/>
    <w:multiLevelType w:val="hybridMultilevel"/>
    <w:tmpl w:val="57608930"/>
    <w:lvl w:ilvl="0" w:tplc="342E4BC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818FF"/>
    <w:multiLevelType w:val="hybridMultilevel"/>
    <w:tmpl w:val="253A86C6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C332C4"/>
    <w:multiLevelType w:val="hybridMultilevel"/>
    <w:tmpl w:val="95A6743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F45118"/>
    <w:multiLevelType w:val="hybridMultilevel"/>
    <w:tmpl w:val="7A9E96E6"/>
    <w:lvl w:ilvl="0" w:tplc="85CC47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0E0296E">
      <w:start w:val="20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9924BF4">
      <w:start w:val="2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0983A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F277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7A167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C4C7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482A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F8BD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83E7E9E"/>
    <w:multiLevelType w:val="hybridMultilevel"/>
    <w:tmpl w:val="F33CCF9C"/>
    <w:lvl w:ilvl="0" w:tplc="342E4BC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D33492"/>
    <w:multiLevelType w:val="hybridMultilevel"/>
    <w:tmpl w:val="533EE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7B566D"/>
    <w:multiLevelType w:val="hybridMultilevel"/>
    <w:tmpl w:val="024A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4395E"/>
    <w:multiLevelType w:val="hybridMultilevel"/>
    <w:tmpl w:val="2C7853D0"/>
    <w:lvl w:ilvl="0" w:tplc="2B76ACB6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51378A"/>
    <w:multiLevelType w:val="hybridMultilevel"/>
    <w:tmpl w:val="D774256E"/>
    <w:lvl w:ilvl="0" w:tplc="18946EC4">
      <w:numFmt w:val="bullet"/>
      <w:lvlText w:val="-"/>
      <w:lvlJc w:val="left"/>
      <w:pPr>
        <w:ind w:left="1080" w:hanging="360"/>
      </w:pPr>
      <w:rPr>
        <w:rFonts w:ascii="Times" w:eastAsia="바탕" w:hAnsi="Times" w:cs="Times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4B2DDF"/>
    <w:multiLevelType w:val="hybridMultilevel"/>
    <w:tmpl w:val="05FE37B0"/>
    <w:lvl w:ilvl="0" w:tplc="429835A8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18946EC4">
      <w:numFmt w:val="bullet"/>
      <w:lvlText w:val="-"/>
      <w:lvlJc w:val="left"/>
      <w:pPr>
        <w:ind w:left="1440" w:hanging="360"/>
      </w:pPr>
      <w:rPr>
        <w:rFonts w:ascii="Times" w:eastAsia="바탕" w:hAnsi="Times" w:cs="Times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B845FD"/>
    <w:multiLevelType w:val="hybridMultilevel"/>
    <w:tmpl w:val="D8A00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D14C95"/>
    <w:multiLevelType w:val="hybridMultilevel"/>
    <w:tmpl w:val="6152F838"/>
    <w:lvl w:ilvl="0" w:tplc="1A407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6318A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7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842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E15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20A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A7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A5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C8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1ED588C"/>
    <w:multiLevelType w:val="hybridMultilevel"/>
    <w:tmpl w:val="912CE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F54A71"/>
    <w:multiLevelType w:val="hybridMultilevel"/>
    <w:tmpl w:val="A566C28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267AA"/>
    <w:multiLevelType w:val="hybridMultilevel"/>
    <w:tmpl w:val="4D5E662A"/>
    <w:lvl w:ilvl="0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EE045E"/>
    <w:multiLevelType w:val="hybridMultilevel"/>
    <w:tmpl w:val="5770F1B0"/>
    <w:lvl w:ilvl="0" w:tplc="A566B3D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5F478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E207E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13E71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36263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F4070E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EF675A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2562B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1646F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1" w15:restartNumberingAfterBreak="0">
    <w:nsid w:val="4C9115F3"/>
    <w:multiLevelType w:val="hybridMultilevel"/>
    <w:tmpl w:val="966EA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0B72B8"/>
    <w:multiLevelType w:val="hybridMultilevel"/>
    <w:tmpl w:val="A8DC9A7E"/>
    <w:lvl w:ilvl="0" w:tplc="41CA69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47B683E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DEEC74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3CEF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06A64E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D31EE74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BE60DE7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314832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D652AE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 w15:restartNumberingAfterBreak="0">
    <w:nsid w:val="50771F88"/>
    <w:multiLevelType w:val="hybridMultilevel"/>
    <w:tmpl w:val="A10A7672"/>
    <w:lvl w:ilvl="0" w:tplc="55040B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164A7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F48D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CEB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5019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ECC8D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1E95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B47B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2EC4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E170C1"/>
    <w:multiLevelType w:val="hybridMultilevel"/>
    <w:tmpl w:val="CB086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75F58"/>
    <w:multiLevelType w:val="hybridMultilevel"/>
    <w:tmpl w:val="FB5EEC62"/>
    <w:lvl w:ilvl="0" w:tplc="091E05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E0BA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55A28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2A88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68D47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9024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1233A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56A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5E8E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C32E57"/>
    <w:multiLevelType w:val="hybridMultilevel"/>
    <w:tmpl w:val="D66470B2"/>
    <w:lvl w:ilvl="0" w:tplc="B838C9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F990BC0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C382C5D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186BF0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1916E0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B6B6176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1C9E47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5AC04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1186A8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40" w15:restartNumberingAfterBreak="0">
    <w:nsid w:val="646C5441"/>
    <w:multiLevelType w:val="hybridMultilevel"/>
    <w:tmpl w:val="0F1864E4"/>
    <w:lvl w:ilvl="0" w:tplc="091CD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AF5F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28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28F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F0A6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4D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07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3C3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E8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71A131A"/>
    <w:multiLevelType w:val="hybridMultilevel"/>
    <w:tmpl w:val="09CC374A"/>
    <w:lvl w:ilvl="0" w:tplc="62CC95E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5B5C52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C6380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B52DE7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E6408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649D0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DCB6B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942B0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9C50E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6882022A"/>
    <w:multiLevelType w:val="hybridMultilevel"/>
    <w:tmpl w:val="7DEC5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DE57B7"/>
    <w:multiLevelType w:val="hybridMultilevel"/>
    <w:tmpl w:val="9BF213BA"/>
    <w:lvl w:ilvl="0" w:tplc="4A66B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B4C4F16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7674B97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3A4DF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994C5B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4AA3F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00A70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53B6E4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D4479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44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706E7396"/>
    <w:multiLevelType w:val="hybridMultilevel"/>
    <w:tmpl w:val="3DFC4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18131E"/>
    <w:multiLevelType w:val="hybridMultilevel"/>
    <w:tmpl w:val="31829CDE"/>
    <w:lvl w:ilvl="0" w:tplc="5D3E9D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50D09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347A786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BDED2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804C8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AF4A22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4392C5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3D8EE0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EFCC05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num w:numId="1">
    <w:abstractNumId w:val="25"/>
  </w:num>
  <w:num w:numId="2">
    <w:abstractNumId w:val="46"/>
  </w:num>
  <w:num w:numId="3">
    <w:abstractNumId w:val="8"/>
  </w:num>
  <w:num w:numId="4">
    <w:abstractNumId w:val="0"/>
  </w:num>
  <w:num w:numId="5">
    <w:abstractNumId w:val="34"/>
  </w:num>
  <w:num w:numId="6">
    <w:abstractNumId w:val="10"/>
  </w:num>
  <w:num w:numId="7">
    <w:abstractNumId w:val="16"/>
  </w:num>
  <w:num w:numId="8">
    <w:abstractNumId w:val="24"/>
  </w:num>
  <w:num w:numId="9">
    <w:abstractNumId w:val="21"/>
  </w:num>
  <w:num w:numId="10">
    <w:abstractNumId w:val="14"/>
  </w:num>
  <w:num w:numId="11">
    <w:abstractNumId w:val="40"/>
  </w:num>
  <w:num w:numId="12">
    <w:abstractNumId w:val="1"/>
  </w:num>
  <w:num w:numId="13">
    <w:abstractNumId w:val="22"/>
  </w:num>
  <w:num w:numId="14">
    <w:abstractNumId w:val="15"/>
  </w:num>
  <w:num w:numId="15">
    <w:abstractNumId w:val="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</w:num>
  <w:num w:numId="19">
    <w:abstractNumId w:val="42"/>
  </w:num>
  <w:num w:numId="20">
    <w:abstractNumId w:val="41"/>
  </w:num>
  <w:num w:numId="21">
    <w:abstractNumId w:val="33"/>
  </w:num>
  <w:num w:numId="22">
    <w:abstractNumId w:val="30"/>
  </w:num>
  <w:num w:numId="23">
    <w:abstractNumId w:val="44"/>
  </w:num>
  <w:num w:numId="24">
    <w:abstractNumId w:val="11"/>
  </w:num>
  <w:num w:numId="25">
    <w:abstractNumId w:val="12"/>
  </w:num>
  <w:num w:numId="26">
    <w:abstractNumId w:val="47"/>
  </w:num>
  <w:num w:numId="27">
    <w:abstractNumId w:val="37"/>
  </w:num>
  <w:num w:numId="28">
    <w:abstractNumId w:val="31"/>
  </w:num>
  <w:num w:numId="29">
    <w:abstractNumId w:val="18"/>
  </w:num>
  <w:num w:numId="30">
    <w:abstractNumId w:val="36"/>
  </w:num>
  <w:num w:numId="31">
    <w:abstractNumId w:val="45"/>
  </w:num>
  <w:num w:numId="32">
    <w:abstractNumId w:val="26"/>
  </w:num>
  <w:num w:numId="33">
    <w:abstractNumId w:val="35"/>
  </w:num>
  <w:num w:numId="34">
    <w:abstractNumId w:val="7"/>
  </w:num>
  <w:num w:numId="35">
    <w:abstractNumId w:val="27"/>
  </w:num>
  <w:num w:numId="36">
    <w:abstractNumId w:val="29"/>
  </w:num>
  <w:num w:numId="37">
    <w:abstractNumId w:val="32"/>
  </w:num>
  <w:num w:numId="38">
    <w:abstractNumId w:val="48"/>
  </w:num>
  <w:num w:numId="39">
    <w:abstractNumId w:val="43"/>
  </w:num>
  <w:num w:numId="40">
    <w:abstractNumId w:val="39"/>
  </w:num>
  <w:num w:numId="41">
    <w:abstractNumId w:val="38"/>
  </w:num>
  <w:num w:numId="42">
    <w:abstractNumId w:val="23"/>
  </w:num>
  <w:num w:numId="43">
    <w:abstractNumId w:val="2"/>
  </w:num>
  <w:num w:numId="44">
    <w:abstractNumId w:val="5"/>
  </w:num>
  <w:num w:numId="45">
    <w:abstractNumId w:val="4"/>
  </w:num>
  <w:num w:numId="46">
    <w:abstractNumId w:val="19"/>
  </w:num>
  <w:num w:numId="47">
    <w:abstractNumId w:val="28"/>
  </w:num>
  <w:num w:numId="48">
    <w:abstractNumId w:val="17"/>
  </w:num>
  <w:num w:numId="49">
    <w:abstractNumId w:val="3"/>
  </w:num>
  <w:num w:numId="50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11DE"/>
    <w:rsid w:val="00041507"/>
    <w:rsid w:val="00041A80"/>
    <w:rsid w:val="00041D8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6862"/>
    <w:rsid w:val="00047971"/>
    <w:rsid w:val="00047E19"/>
    <w:rsid w:val="00050682"/>
    <w:rsid w:val="000511F0"/>
    <w:rsid w:val="0005192A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65B"/>
    <w:rsid w:val="00064CD0"/>
    <w:rsid w:val="000655FD"/>
    <w:rsid w:val="00065944"/>
    <w:rsid w:val="0006655D"/>
    <w:rsid w:val="0006679B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D28"/>
    <w:rsid w:val="000A0CB7"/>
    <w:rsid w:val="000A1935"/>
    <w:rsid w:val="000A1F96"/>
    <w:rsid w:val="000A2F38"/>
    <w:rsid w:val="000A3443"/>
    <w:rsid w:val="000A3E10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49B"/>
    <w:rsid w:val="000B7BB4"/>
    <w:rsid w:val="000C048A"/>
    <w:rsid w:val="000C050B"/>
    <w:rsid w:val="000C0B89"/>
    <w:rsid w:val="000C1076"/>
    <w:rsid w:val="000C17E7"/>
    <w:rsid w:val="000C1CC1"/>
    <w:rsid w:val="000C24CB"/>
    <w:rsid w:val="000C345A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421"/>
    <w:rsid w:val="000D06CB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7163"/>
    <w:rsid w:val="000D72A8"/>
    <w:rsid w:val="000D76DB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71B"/>
    <w:rsid w:val="000F0B3F"/>
    <w:rsid w:val="000F2CF0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ECE"/>
    <w:rsid w:val="00121CDA"/>
    <w:rsid w:val="00122501"/>
    <w:rsid w:val="0012268A"/>
    <w:rsid w:val="0012309D"/>
    <w:rsid w:val="0012337D"/>
    <w:rsid w:val="00123AEE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97C"/>
    <w:rsid w:val="001378DA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601D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8760D"/>
    <w:rsid w:val="00187CA3"/>
    <w:rsid w:val="00190A84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3D8E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1FCE"/>
    <w:rsid w:val="001E219E"/>
    <w:rsid w:val="001E254E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7127"/>
    <w:rsid w:val="00207997"/>
    <w:rsid w:val="00210246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B1C"/>
    <w:rsid w:val="00216BED"/>
    <w:rsid w:val="00217794"/>
    <w:rsid w:val="002177B5"/>
    <w:rsid w:val="002178E9"/>
    <w:rsid w:val="00220B35"/>
    <w:rsid w:val="00221337"/>
    <w:rsid w:val="002215C1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293"/>
    <w:rsid w:val="00236D71"/>
    <w:rsid w:val="002374A5"/>
    <w:rsid w:val="00242530"/>
    <w:rsid w:val="002425AA"/>
    <w:rsid w:val="00242C05"/>
    <w:rsid w:val="00243954"/>
    <w:rsid w:val="00243F08"/>
    <w:rsid w:val="0024413A"/>
    <w:rsid w:val="00244D7E"/>
    <w:rsid w:val="00245189"/>
    <w:rsid w:val="00245406"/>
    <w:rsid w:val="002457C9"/>
    <w:rsid w:val="0024745A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1880"/>
    <w:rsid w:val="002718CF"/>
    <w:rsid w:val="00271E6F"/>
    <w:rsid w:val="002722A8"/>
    <w:rsid w:val="00272451"/>
    <w:rsid w:val="00274128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95F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C07"/>
    <w:rsid w:val="002C658F"/>
    <w:rsid w:val="002C6808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65C3"/>
    <w:rsid w:val="002E68C7"/>
    <w:rsid w:val="002E6C9E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9FC"/>
    <w:rsid w:val="00304A33"/>
    <w:rsid w:val="00304DB9"/>
    <w:rsid w:val="00305046"/>
    <w:rsid w:val="003060D5"/>
    <w:rsid w:val="0030655B"/>
    <w:rsid w:val="00306BF6"/>
    <w:rsid w:val="00307CD4"/>
    <w:rsid w:val="00307D0C"/>
    <w:rsid w:val="00310498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30352"/>
    <w:rsid w:val="0033065F"/>
    <w:rsid w:val="00330C6B"/>
    <w:rsid w:val="003314B7"/>
    <w:rsid w:val="003319FE"/>
    <w:rsid w:val="00331F77"/>
    <w:rsid w:val="003337F4"/>
    <w:rsid w:val="003338B1"/>
    <w:rsid w:val="0033422F"/>
    <w:rsid w:val="00334DC0"/>
    <w:rsid w:val="003351B9"/>
    <w:rsid w:val="003359F0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B34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42FD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7A2E"/>
    <w:rsid w:val="003C0C00"/>
    <w:rsid w:val="003C0E28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28BA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34D"/>
    <w:rsid w:val="003F4E97"/>
    <w:rsid w:val="003F55AF"/>
    <w:rsid w:val="003F5DED"/>
    <w:rsid w:val="003F622F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5AC3"/>
    <w:rsid w:val="00416080"/>
    <w:rsid w:val="00416576"/>
    <w:rsid w:val="00416B4B"/>
    <w:rsid w:val="004175E0"/>
    <w:rsid w:val="00420B7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F38"/>
    <w:rsid w:val="00432C90"/>
    <w:rsid w:val="00432D5E"/>
    <w:rsid w:val="004331A8"/>
    <w:rsid w:val="00433496"/>
    <w:rsid w:val="00434236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3053"/>
    <w:rsid w:val="004432BE"/>
    <w:rsid w:val="00443515"/>
    <w:rsid w:val="00443EE9"/>
    <w:rsid w:val="004451F2"/>
    <w:rsid w:val="004459F4"/>
    <w:rsid w:val="00445BD1"/>
    <w:rsid w:val="00446663"/>
    <w:rsid w:val="00446A09"/>
    <w:rsid w:val="004477F2"/>
    <w:rsid w:val="00450AB7"/>
    <w:rsid w:val="00453D78"/>
    <w:rsid w:val="00455335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53D"/>
    <w:rsid w:val="004726F9"/>
    <w:rsid w:val="00472CF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6E5"/>
    <w:rsid w:val="004C0D34"/>
    <w:rsid w:val="004C0EDC"/>
    <w:rsid w:val="004C1217"/>
    <w:rsid w:val="004C132D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A1"/>
    <w:rsid w:val="004E0F6C"/>
    <w:rsid w:val="004E2A59"/>
    <w:rsid w:val="004E2AE9"/>
    <w:rsid w:val="004E315B"/>
    <w:rsid w:val="004E33B9"/>
    <w:rsid w:val="004E44DE"/>
    <w:rsid w:val="004E6514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FEE"/>
    <w:rsid w:val="0050700A"/>
    <w:rsid w:val="00507023"/>
    <w:rsid w:val="00507B7C"/>
    <w:rsid w:val="005108C9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D44"/>
    <w:rsid w:val="00513225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63CB"/>
    <w:rsid w:val="00526CE7"/>
    <w:rsid w:val="00527F4B"/>
    <w:rsid w:val="00530836"/>
    <w:rsid w:val="00530D0D"/>
    <w:rsid w:val="0053124F"/>
    <w:rsid w:val="005321AB"/>
    <w:rsid w:val="00532F30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2292"/>
    <w:rsid w:val="00562471"/>
    <w:rsid w:val="0056281C"/>
    <w:rsid w:val="00562867"/>
    <w:rsid w:val="00563A9C"/>
    <w:rsid w:val="00564316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C62"/>
    <w:rsid w:val="005822A7"/>
    <w:rsid w:val="0058241D"/>
    <w:rsid w:val="00584267"/>
    <w:rsid w:val="0058464B"/>
    <w:rsid w:val="0058465C"/>
    <w:rsid w:val="00584C9B"/>
    <w:rsid w:val="00584F26"/>
    <w:rsid w:val="00585901"/>
    <w:rsid w:val="00585C00"/>
    <w:rsid w:val="00585EDB"/>
    <w:rsid w:val="00586740"/>
    <w:rsid w:val="00586CE4"/>
    <w:rsid w:val="00587448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33C8"/>
    <w:rsid w:val="005A3536"/>
    <w:rsid w:val="005A3D95"/>
    <w:rsid w:val="005A467D"/>
    <w:rsid w:val="005A4CFF"/>
    <w:rsid w:val="005A501C"/>
    <w:rsid w:val="005A61F1"/>
    <w:rsid w:val="005A6247"/>
    <w:rsid w:val="005A6352"/>
    <w:rsid w:val="005A71AF"/>
    <w:rsid w:val="005A75D3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32F0"/>
    <w:rsid w:val="00604F0B"/>
    <w:rsid w:val="00605FD1"/>
    <w:rsid w:val="00606304"/>
    <w:rsid w:val="006069B7"/>
    <w:rsid w:val="00606FF0"/>
    <w:rsid w:val="00607772"/>
    <w:rsid w:val="006078C3"/>
    <w:rsid w:val="0060796F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FF8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F1"/>
    <w:rsid w:val="00721ACA"/>
    <w:rsid w:val="00722ECC"/>
    <w:rsid w:val="00722F5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402BB"/>
    <w:rsid w:val="007402E0"/>
    <w:rsid w:val="00741D65"/>
    <w:rsid w:val="00742FD6"/>
    <w:rsid w:val="00744263"/>
    <w:rsid w:val="00744A94"/>
    <w:rsid w:val="00744AB6"/>
    <w:rsid w:val="00744B8D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869"/>
    <w:rsid w:val="007668CB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5A22"/>
    <w:rsid w:val="00775E6D"/>
    <w:rsid w:val="007775A4"/>
    <w:rsid w:val="0077796E"/>
    <w:rsid w:val="00777CF5"/>
    <w:rsid w:val="00777E9C"/>
    <w:rsid w:val="00777EBC"/>
    <w:rsid w:val="00780933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7342"/>
    <w:rsid w:val="00787723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97A9C"/>
    <w:rsid w:val="007A00E3"/>
    <w:rsid w:val="007A3605"/>
    <w:rsid w:val="007A3DF3"/>
    <w:rsid w:val="007A5089"/>
    <w:rsid w:val="007A5A0D"/>
    <w:rsid w:val="007A5B66"/>
    <w:rsid w:val="007A61A3"/>
    <w:rsid w:val="007A6208"/>
    <w:rsid w:val="007A6311"/>
    <w:rsid w:val="007A6505"/>
    <w:rsid w:val="007A7B7C"/>
    <w:rsid w:val="007B10EA"/>
    <w:rsid w:val="007B135F"/>
    <w:rsid w:val="007B1A5A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BF3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517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6ACB"/>
    <w:rsid w:val="008073D4"/>
    <w:rsid w:val="00807AD9"/>
    <w:rsid w:val="00807EB8"/>
    <w:rsid w:val="008104DA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0695"/>
    <w:rsid w:val="008309D8"/>
    <w:rsid w:val="00831738"/>
    <w:rsid w:val="008318C4"/>
    <w:rsid w:val="00831D91"/>
    <w:rsid w:val="00832FA7"/>
    <w:rsid w:val="0083389B"/>
    <w:rsid w:val="00834EC8"/>
    <w:rsid w:val="008350EE"/>
    <w:rsid w:val="00837654"/>
    <w:rsid w:val="00837D23"/>
    <w:rsid w:val="00837DC5"/>
    <w:rsid w:val="00837EBF"/>
    <w:rsid w:val="008402D1"/>
    <w:rsid w:val="008406EE"/>
    <w:rsid w:val="008413CF"/>
    <w:rsid w:val="0084176D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C1A"/>
    <w:rsid w:val="0085449A"/>
    <w:rsid w:val="00855618"/>
    <w:rsid w:val="008558DE"/>
    <w:rsid w:val="00855C07"/>
    <w:rsid w:val="00856F84"/>
    <w:rsid w:val="008570AD"/>
    <w:rsid w:val="008575DD"/>
    <w:rsid w:val="00862A49"/>
    <w:rsid w:val="00864AA0"/>
    <w:rsid w:val="00864CF4"/>
    <w:rsid w:val="00864FDB"/>
    <w:rsid w:val="00865458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245A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34E4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554"/>
    <w:rsid w:val="008A55D6"/>
    <w:rsid w:val="008A5A2D"/>
    <w:rsid w:val="008A5BE6"/>
    <w:rsid w:val="008A686E"/>
    <w:rsid w:val="008A6D32"/>
    <w:rsid w:val="008A7323"/>
    <w:rsid w:val="008A782C"/>
    <w:rsid w:val="008B08C8"/>
    <w:rsid w:val="008B1915"/>
    <w:rsid w:val="008B27FB"/>
    <w:rsid w:val="008B28FD"/>
    <w:rsid w:val="008B300D"/>
    <w:rsid w:val="008B307D"/>
    <w:rsid w:val="008B3D0A"/>
    <w:rsid w:val="008B4658"/>
    <w:rsid w:val="008B4A00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28F2"/>
    <w:rsid w:val="008C3517"/>
    <w:rsid w:val="008C3633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59D4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1298"/>
    <w:rsid w:val="00911BCB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56A"/>
    <w:rsid w:val="00962597"/>
    <w:rsid w:val="00962622"/>
    <w:rsid w:val="00962AFC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7AA4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5A4"/>
    <w:rsid w:val="00992D6D"/>
    <w:rsid w:val="00993F52"/>
    <w:rsid w:val="0099475E"/>
    <w:rsid w:val="009950A5"/>
    <w:rsid w:val="00995DB2"/>
    <w:rsid w:val="0099619E"/>
    <w:rsid w:val="00996B98"/>
    <w:rsid w:val="00996D2F"/>
    <w:rsid w:val="0099754F"/>
    <w:rsid w:val="009A0431"/>
    <w:rsid w:val="009A0AEE"/>
    <w:rsid w:val="009A13E5"/>
    <w:rsid w:val="009A17C9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1B0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B34"/>
    <w:rsid w:val="00A17BCA"/>
    <w:rsid w:val="00A17CFC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2A7"/>
    <w:rsid w:val="00A328FB"/>
    <w:rsid w:val="00A338E9"/>
    <w:rsid w:val="00A33AD8"/>
    <w:rsid w:val="00A342AF"/>
    <w:rsid w:val="00A34A47"/>
    <w:rsid w:val="00A34DFF"/>
    <w:rsid w:val="00A361C6"/>
    <w:rsid w:val="00A375B9"/>
    <w:rsid w:val="00A37EC2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760"/>
    <w:rsid w:val="00A7231A"/>
    <w:rsid w:val="00A72570"/>
    <w:rsid w:val="00A72803"/>
    <w:rsid w:val="00A738A0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26FC"/>
    <w:rsid w:val="00A929A4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447"/>
    <w:rsid w:val="00AB6B4C"/>
    <w:rsid w:val="00AB6FA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974"/>
    <w:rsid w:val="00AD35D7"/>
    <w:rsid w:val="00AD4A66"/>
    <w:rsid w:val="00AD4F72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5572"/>
    <w:rsid w:val="00B26A0B"/>
    <w:rsid w:val="00B273E1"/>
    <w:rsid w:val="00B27DB8"/>
    <w:rsid w:val="00B30F7E"/>
    <w:rsid w:val="00B30FC0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40357"/>
    <w:rsid w:val="00B40D39"/>
    <w:rsid w:val="00B41DE5"/>
    <w:rsid w:val="00B41F8B"/>
    <w:rsid w:val="00B42B6B"/>
    <w:rsid w:val="00B43CFE"/>
    <w:rsid w:val="00B444E1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DE2"/>
    <w:rsid w:val="00B54DD8"/>
    <w:rsid w:val="00B559EC"/>
    <w:rsid w:val="00B56218"/>
    <w:rsid w:val="00B56569"/>
    <w:rsid w:val="00B5696E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4BAF"/>
    <w:rsid w:val="00B95648"/>
    <w:rsid w:val="00B9572F"/>
    <w:rsid w:val="00B96390"/>
    <w:rsid w:val="00B96F54"/>
    <w:rsid w:val="00B97E5E"/>
    <w:rsid w:val="00BA0177"/>
    <w:rsid w:val="00BA11FF"/>
    <w:rsid w:val="00BA19E9"/>
    <w:rsid w:val="00BA1EC0"/>
    <w:rsid w:val="00BA222B"/>
    <w:rsid w:val="00BA2FA9"/>
    <w:rsid w:val="00BA353D"/>
    <w:rsid w:val="00BA3BF6"/>
    <w:rsid w:val="00BA43C9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ED8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220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F29"/>
    <w:rsid w:val="00C25F4C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B2D"/>
    <w:rsid w:val="00C70E3A"/>
    <w:rsid w:val="00C71BE6"/>
    <w:rsid w:val="00C721FF"/>
    <w:rsid w:val="00C72D48"/>
    <w:rsid w:val="00C74441"/>
    <w:rsid w:val="00C7483D"/>
    <w:rsid w:val="00C75ED1"/>
    <w:rsid w:val="00C760DD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7DF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1C7B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DD7"/>
    <w:rsid w:val="00D11E1F"/>
    <w:rsid w:val="00D123C5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A44"/>
    <w:rsid w:val="00D44F76"/>
    <w:rsid w:val="00D456E3"/>
    <w:rsid w:val="00D45713"/>
    <w:rsid w:val="00D45C56"/>
    <w:rsid w:val="00D462E6"/>
    <w:rsid w:val="00D46C6B"/>
    <w:rsid w:val="00D479B2"/>
    <w:rsid w:val="00D50078"/>
    <w:rsid w:val="00D50729"/>
    <w:rsid w:val="00D50B04"/>
    <w:rsid w:val="00D5124C"/>
    <w:rsid w:val="00D5137E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2020"/>
    <w:rsid w:val="00D92990"/>
    <w:rsid w:val="00D92AE4"/>
    <w:rsid w:val="00D930A1"/>
    <w:rsid w:val="00D93464"/>
    <w:rsid w:val="00D93C2B"/>
    <w:rsid w:val="00D946DF"/>
    <w:rsid w:val="00D94C31"/>
    <w:rsid w:val="00D94EA3"/>
    <w:rsid w:val="00D96993"/>
    <w:rsid w:val="00D9736C"/>
    <w:rsid w:val="00D9754F"/>
    <w:rsid w:val="00D975DE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BA4"/>
    <w:rsid w:val="00DB2012"/>
    <w:rsid w:val="00DB26EE"/>
    <w:rsid w:val="00DB2C88"/>
    <w:rsid w:val="00DB30D7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1828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7DB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209BA"/>
    <w:rsid w:val="00E20A77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104F"/>
    <w:rsid w:val="00E31857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885"/>
    <w:rsid w:val="00E35967"/>
    <w:rsid w:val="00E36144"/>
    <w:rsid w:val="00E366B2"/>
    <w:rsid w:val="00E3697F"/>
    <w:rsid w:val="00E3758A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4E1"/>
    <w:rsid w:val="00E527DE"/>
    <w:rsid w:val="00E52EAF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C66"/>
    <w:rsid w:val="00EA005E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7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31F"/>
    <w:rsid w:val="00F065F6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2B52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C0D"/>
    <w:rsid w:val="00FC49AF"/>
    <w:rsid w:val="00FC5371"/>
    <w:rsid w:val="00FC5FBB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7291"/>
    <w:rsid w:val="00FD7570"/>
    <w:rsid w:val="00FD7CDB"/>
    <w:rsid w:val="00FE0E68"/>
    <w:rsid w:val="00FE1A82"/>
    <w:rsid w:val="00FE264F"/>
    <w:rsid w:val="00FE287C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179D1718-49FF-4AAC-AB30-0BAD285F1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df4eea7b-52db-4162-980b-b352f1b580a3">3EQ6UJ4K66FU-4-3685</_dlc_DocId>
    <_dlc_DocIdUrl xmlns="df4eea7b-52db-4162-980b-b352f1b580a3">
      <Url>https://projects.qualcomm.com/sites/meridian/_layouts/15/DocIdRedir.aspx?ID=3EQ6UJ4K66FU-4-3685</Url>
      <Description>3EQ6UJ4K66FU-4-3685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F6168-0BF5-4D6A-AFF9-CDD5FFDA7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4925B8-0020-4F90-A81C-6C9953282B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f4eea7b-52db-4162-980b-b352f1b580a3"/>
  </ds:schemaRefs>
</ds:datastoreItem>
</file>

<file path=customXml/itemProps5.xml><?xml version="1.0" encoding="utf-8"?>
<ds:datastoreItem xmlns:ds="http://schemas.openxmlformats.org/officeDocument/2006/customXml" ds:itemID="{566BFFA8-AFDB-44C5-8DD7-E72057CA9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4</Pages>
  <Words>1430</Words>
  <Characters>7108</Characters>
  <Application>Microsoft Office Word</Application>
  <DocSecurity>0</DocSecurity>
  <Lines>131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8450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Yongjun Kwak</cp:lastModifiedBy>
  <cp:revision>2</cp:revision>
  <cp:lastPrinted>2017-10-24T05:18:00Z</cp:lastPrinted>
  <dcterms:created xsi:type="dcterms:W3CDTF">2018-09-29T00:54:00Z</dcterms:created>
  <dcterms:modified xsi:type="dcterms:W3CDTF">2018-09-29T00:54:00Z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4aea74bd-c458-4d29-8874-3ccde1edea06</vt:lpwstr>
  </property>
  <property fmtid="{D5CDD505-2E9C-101B-9397-08002B2CF9AE}" pid="3" name="CTP_TimeStamp">
    <vt:lpwstr>2018-09-29 00:54:20Z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0x010100B64640988C4649488F02E0537EA64775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